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348701E7"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7353ED">
        <w:rPr>
          <w:rFonts w:cs="Arial"/>
          <w:b/>
          <w:sz w:val="22"/>
          <w:lang w:val="en-US"/>
        </w:rPr>
        <w:t>3</w:t>
      </w:r>
      <w:r>
        <w:rPr>
          <w:rFonts w:cs="Arial"/>
          <w:b/>
          <w:i/>
          <w:sz w:val="22"/>
          <w:lang w:val="en-US"/>
        </w:rPr>
        <w:tab/>
      </w:r>
      <w:r w:rsidR="00D45734" w:rsidRPr="00D45734">
        <w:rPr>
          <w:rFonts w:cs="Arial"/>
          <w:b/>
          <w:i/>
          <w:sz w:val="22"/>
          <w:lang w:val="en-US"/>
        </w:rPr>
        <w:t>R2-2307242</w:t>
      </w:r>
      <w:r w:rsidR="00D45734" w:rsidRPr="00D45734" w:rsidDel="00D45734">
        <w:rPr>
          <w:rFonts w:cs="Arial"/>
          <w:b/>
          <w:i/>
          <w:sz w:val="22"/>
          <w:lang w:val="en-US"/>
        </w:rPr>
        <w:t xml:space="preserve"> </w:t>
      </w:r>
    </w:p>
    <w:p w14:paraId="3F17F203" w14:textId="31335EEB" w:rsidR="00FB3C9D" w:rsidRDefault="007353ED">
      <w:pPr>
        <w:tabs>
          <w:tab w:val="left" w:pos="1701"/>
          <w:tab w:val="right" w:pos="9639"/>
        </w:tabs>
        <w:spacing w:after="0"/>
        <w:rPr>
          <w:rFonts w:cs="Arial"/>
          <w:b/>
          <w:color w:val="000000"/>
          <w:sz w:val="24"/>
        </w:rPr>
      </w:pPr>
      <w:r>
        <w:rPr>
          <w:rFonts w:cs="Arial"/>
          <w:b/>
          <w:sz w:val="22"/>
          <w:lang w:val="en-US"/>
        </w:rPr>
        <w:t>Toulouse</w:t>
      </w:r>
      <w:r w:rsidR="003D1DDD">
        <w:rPr>
          <w:rFonts w:cs="Arial"/>
          <w:b/>
          <w:sz w:val="22"/>
          <w:lang w:val="en-US"/>
        </w:rPr>
        <w:t>,</w:t>
      </w:r>
      <w:r w:rsidR="006E66CE">
        <w:rPr>
          <w:rFonts w:cs="Arial"/>
          <w:b/>
          <w:sz w:val="22"/>
          <w:lang w:val="en-US"/>
        </w:rPr>
        <w:t xml:space="preserve"> </w:t>
      </w:r>
      <w:r>
        <w:rPr>
          <w:rFonts w:cs="Arial"/>
          <w:b/>
          <w:sz w:val="22"/>
          <w:lang w:val="en-US"/>
        </w:rPr>
        <w:t>France</w:t>
      </w:r>
      <w:r w:rsidR="006E66CE">
        <w:rPr>
          <w:rFonts w:cs="Arial"/>
          <w:b/>
          <w:sz w:val="22"/>
          <w:lang w:val="en-US"/>
        </w:rPr>
        <w:t>,</w:t>
      </w:r>
      <w:r w:rsidR="003D1DDD">
        <w:rPr>
          <w:rFonts w:cs="Arial"/>
          <w:b/>
          <w:sz w:val="22"/>
          <w:lang w:val="en-US"/>
        </w:rPr>
        <w:t xml:space="preserve"> </w:t>
      </w:r>
      <w:r>
        <w:rPr>
          <w:rFonts w:cs="Arial"/>
          <w:b/>
          <w:sz w:val="22"/>
          <w:lang w:val="en-US"/>
        </w:rPr>
        <w:t>A</w:t>
      </w:r>
      <w:r>
        <w:rPr>
          <w:rFonts w:cs="Arial" w:hint="eastAsia"/>
          <w:b/>
          <w:sz w:val="22"/>
          <w:lang w:val="en-US"/>
        </w:rPr>
        <w:t>ugust</w:t>
      </w:r>
      <w:r w:rsidR="006E66CE">
        <w:rPr>
          <w:rFonts w:cs="Arial"/>
          <w:b/>
          <w:sz w:val="22"/>
          <w:lang w:val="en-US"/>
        </w:rPr>
        <w:t xml:space="preserve"> </w:t>
      </w:r>
      <w:r w:rsidR="003D1DDD">
        <w:rPr>
          <w:rFonts w:cs="Arial"/>
          <w:b/>
          <w:sz w:val="22"/>
          <w:lang w:val="en-US"/>
        </w:rPr>
        <w:t>202</w:t>
      </w:r>
      <w:r w:rsidR="0049681A">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7DFEE82" w:rsidR="00FB3C9D" w:rsidRDefault="003D1DDD">
      <w:pPr>
        <w:pStyle w:val="3GPPHeader"/>
        <w:rPr>
          <w:sz w:val="22"/>
        </w:rPr>
      </w:pPr>
      <w:r>
        <w:rPr>
          <w:sz w:val="22"/>
        </w:rPr>
        <w:t>Agenda Item:</w:t>
      </w:r>
      <w:r>
        <w:rPr>
          <w:sz w:val="22"/>
        </w:rPr>
        <w:tab/>
      </w:r>
      <w:r w:rsidR="00A2537F">
        <w:rPr>
          <w:sz w:val="22"/>
        </w:rPr>
        <w:t>7</w:t>
      </w:r>
      <w:r w:rsidR="00E31D0E">
        <w:rPr>
          <w:sz w:val="22"/>
        </w:rPr>
        <w:t>.</w:t>
      </w:r>
      <w:r w:rsidR="00F70F50">
        <w:rPr>
          <w:sz w:val="22"/>
        </w:rPr>
        <w:t>24.2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6F1B6E83" w:rsidR="00FB3C9D" w:rsidRDefault="003D1DDD">
      <w:pPr>
        <w:pStyle w:val="3GPPHeader"/>
        <w:rPr>
          <w:sz w:val="22"/>
        </w:rPr>
      </w:pPr>
      <w:r>
        <w:rPr>
          <w:sz w:val="22"/>
        </w:rPr>
        <w:t>Title:</w:t>
      </w:r>
      <w:r>
        <w:rPr>
          <w:sz w:val="22"/>
        </w:rPr>
        <w:tab/>
        <w:t xml:space="preserve">Discussion on </w:t>
      </w:r>
      <w:r w:rsidR="00F70F50">
        <w:rPr>
          <w:sz w:val="22"/>
        </w:rPr>
        <w:t>i</w:t>
      </w:r>
      <w:r w:rsidR="00F70F50">
        <w:rPr>
          <w:rFonts w:hint="eastAsia"/>
          <w:sz w:val="22"/>
        </w:rPr>
        <w:t>nter</w:t>
      </w:r>
      <w:r w:rsidR="00F70F50">
        <w:rPr>
          <w:sz w:val="22"/>
        </w:rPr>
        <w:t>-frequency measurements</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44D5DC77" w14:textId="284EF3F0" w:rsidR="00041594" w:rsidRDefault="003D1DDD" w:rsidP="00E54656">
      <w:pPr>
        <w:rPr>
          <w:lang w:eastAsia="ko-KR"/>
        </w:rPr>
      </w:pPr>
      <w:r>
        <w:rPr>
          <w:lang w:eastAsia="ko-KR"/>
        </w:rPr>
        <w:t xml:space="preserve">This paper will discuss </w:t>
      </w:r>
      <w:r w:rsidR="00E31D0E">
        <w:rPr>
          <w:lang w:eastAsia="ko-KR"/>
        </w:rPr>
        <w:t xml:space="preserve">the </w:t>
      </w:r>
      <w:bookmarkEnd w:id="6"/>
      <w:r w:rsidR="00F70F50">
        <w:rPr>
          <w:lang w:eastAsia="ko-KR"/>
        </w:rPr>
        <w:t>following inter-frequency measurement issue</w:t>
      </w:r>
      <w:r w:rsidR="0049681A">
        <w:rPr>
          <w:lang w:eastAsia="ko-KR"/>
        </w:rPr>
        <w:t>.</w:t>
      </w:r>
    </w:p>
    <w:tbl>
      <w:tblPr>
        <w:tblStyle w:val="aff9"/>
        <w:tblW w:w="0" w:type="auto"/>
        <w:tblLook w:val="04A0" w:firstRow="1" w:lastRow="0" w:firstColumn="1" w:lastColumn="0" w:noHBand="0" w:noVBand="1"/>
      </w:tblPr>
      <w:tblGrid>
        <w:gridCol w:w="9629"/>
      </w:tblGrid>
      <w:tr w:rsidR="00F70F50" w14:paraId="766BFB03" w14:textId="77777777" w:rsidTr="00F70F50">
        <w:tc>
          <w:tcPr>
            <w:tcW w:w="9629" w:type="dxa"/>
          </w:tcPr>
          <w:p w14:paraId="03E18C0C" w14:textId="77777777" w:rsidR="00F70F50" w:rsidRPr="00F70F50" w:rsidRDefault="00F70F50" w:rsidP="00F70F50">
            <w:pPr>
              <w:pBdr>
                <w:top w:val="none" w:sz="0" w:space="0" w:color="auto"/>
                <w:left w:val="none" w:sz="0" w:space="0" w:color="auto"/>
                <w:bottom w:val="none" w:sz="0" w:space="0" w:color="auto"/>
                <w:right w:val="none" w:sz="0" w:space="0" w:color="auto"/>
                <w:between w:val="none" w:sz="0" w:space="0" w:color="auto"/>
              </w:pBdr>
              <w:tabs>
                <w:tab w:val="num" w:pos="1619"/>
              </w:tabs>
              <w:spacing w:before="60" w:after="0"/>
              <w:ind w:leftChars="-50" w:left="260" w:hanging="360"/>
              <w:jc w:val="left"/>
              <w:rPr>
                <w:rFonts w:eastAsia="Times New Roman"/>
                <w:b/>
                <w:szCs w:val="20"/>
                <w:lang w:eastAsia="ja-JP"/>
              </w:rPr>
            </w:pPr>
            <w:r w:rsidRPr="00F70F50">
              <w:rPr>
                <w:rFonts w:eastAsia="Times New Roman"/>
                <w:b/>
                <w:szCs w:val="20"/>
                <w:lang w:eastAsia="ja-JP"/>
              </w:rPr>
              <w:t>The issue is about latency from MO configuration to Measurement Report for the most interesting frequency(</w:t>
            </w:r>
            <w:proofErr w:type="spellStart"/>
            <w:r w:rsidRPr="00F70F50">
              <w:rPr>
                <w:rFonts w:eastAsia="Times New Roman"/>
                <w:b/>
                <w:szCs w:val="20"/>
                <w:lang w:eastAsia="ja-JP"/>
              </w:rPr>
              <w:t>ies</w:t>
            </w:r>
            <w:proofErr w:type="spellEnd"/>
            <w:r w:rsidRPr="00F70F50">
              <w:rPr>
                <w:rFonts w:eastAsia="Times New Roman"/>
                <w:b/>
                <w:szCs w:val="20"/>
                <w:lang w:eastAsia="ja-JP"/>
              </w:rPr>
              <w:t xml:space="preserve">) e.g. for the service of the UE. More specifically at the time of measurement report, the network cannot know which frequencies the UEs has already measured, so there is no way for the network to decide to wait or not for another potential measurement report (expect the network to act immediately on the first measurement report). </w:t>
            </w:r>
          </w:p>
          <w:p w14:paraId="2A00A94F" w14:textId="1CB7DBA8" w:rsidR="00F70F50" w:rsidRPr="00F70F50" w:rsidRDefault="00F70F50" w:rsidP="00F70F50">
            <w:pPr>
              <w:pBdr>
                <w:top w:val="none" w:sz="0" w:space="0" w:color="auto"/>
                <w:left w:val="none" w:sz="0" w:space="0" w:color="auto"/>
                <w:bottom w:val="none" w:sz="0" w:space="0" w:color="auto"/>
                <w:right w:val="none" w:sz="0" w:space="0" w:color="auto"/>
                <w:between w:val="none" w:sz="0" w:space="0" w:color="auto"/>
              </w:pBdr>
              <w:tabs>
                <w:tab w:val="num" w:pos="1619"/>
              </w:tabs>
              <w:spacing w:before="60" w:after="0"/>
              <w:ind w:leftChars="-50" w:left="260" w:hanging="360"/>
              <w:jc w:val="left"/>
              <w:rPr>
                <w:rFonts w:eastAsia="MS Mincho"/>
                <w:b/>
                <w:szCs w:val="20"/>
                <w:lang w:eastAsia="ja-JP"/>
              </w:rPr>
            </w:pPr>
            <w:r w:rsidRPr="00F70F50">
              <w:rPr>
                <w:rFonts w:eastAsia="Times New Roman"/>
                <w:b/>
                <w:szCs w:val="20"/>
                <w:lang w:eastAsia="ja-JP"/>
              </w:rPr>
              <w:t>There is support to attempt a solution for Rel-18. Solution discussion next meeting.</w:t>
            </w:r>
          </w:p>
        </w:tc>
      </w:tr>
    </w:tbl>
    <w:p w14:paraId="77F10571" w14:textId="77777777" w:rsidR="00F70F50" w:rsidRPr="00F70F50" w:rsidRDefault="00F70F50" w:rsidP="00E54656">
      <w:pPr>
        <w:rPr>
          <w:rFonts w:eastAsia="Batang"/>
          <w:lang w:eastAsia="ko-KR"/>
        </w:rPr>
      </w:pPr>
    </w:p>
    <w:p w14:paraId="40F89F0E" w14:textId="597488A5" w:rsidR="0049681A" w:rsidRDefault="0049681A" w:rsidP="0049681A">
      <w:pPr>
        <w:pStyle w:val="1"/>
      </w:pPr>
      <w:bookmarkStart w:id="7" w:name="_Toc131757145"/>
      <w:r>
        <w:rPr>
          <w:rFonts w:hint="eastAsia"/>
        </w:rPr>
        <w:t>D</w:t>
      </w:r>
      <w:r>
        <w:t>iscussion</w:t>
      </w:r>
      <w:bookmarkEnd w:id="7"/>
    </w:p>
    <w:p w14:paraId="66AAFCFA" w14:textId="158F7F18" w:rsidR="003853AA" w:rsidRDefault="003853AA" w:rsidP="003853AA">
      <w:r>
        <w:rPr>
          <w:rFonts w:hint="eastAsia"/>
        </w:rPr>
        <w:t>A</w:t>
      </w:r>
      <w:r>
        <w:t xml:space="preserve">s indicated in the conclusion from RAN2 #122, this inter-frequency measurement issue is about how for the network to make the best decision regarding </w:t>
      </w:r>
      <w:r w:rsidR="00B6240E">
        <w:t>whether to act immediately on the first measurement report or to wait for a while</w:t>
      </w:r>
      <w:r w:rsidR="00D40B66">
        <w:t xml:space="preserve"> for the most interest</w:t>
      </w:r>
      <w:r w:rsidR="00F32873">
        <w:t>ing frequency(</w:t>
      </w:r>
      <w:proofErr w:type="spellStart"/>
      <w:r w:rsidR="00F32873">
        <w:t>ies</w:t>
      </w:r>
      <w:proofErr w:type="spellEnd"/>
      <w:r w:rsidR="00F32873">
        <w:t>),</w:t>
      </w:r>
    </w:p>
    <w:p w14:paraId="05127207" w14:textId="77777777" w:rsidR="00080B2E" w:rsidRDefault="00F32873" w:rsidP="00F32873">
      <w:pPr>
        <w:pStyle w:val="aff4"/>
        <w:numPr>
          <w:ilvl w:val="0"/>
          <w:numId w:val="41"/>
        </w:numPr>
      </w:pPr>
      <w:r>
        <w:rPr>
          <w:rFonts w:hint="eastAsia"/>
        </w:rPr>
        <w:t>T</w:t>
      </w:r>
      <w:r>
        <w:t xml:space="preserve">o act immediately, the </w:t>
      </w:r>
      <w:r w:rsidR="00080B2E">
        <w:t>reported frequency may be not wanted mostly by the network by considering service/load/coverage aspects;</w:t>
      </w:r>
    </w:p>
    <w:p w14:paraId="17836A95" w14:textId="77777777" w:rsidR="00080B2E" w:rsidRDefault="00080B2E" w:rsidP="00F32873">
      <w:pPr>
        <w:pStyle w:val="aff4"/>
        <w:numPr>
          <w:ilvl w:val="0"/>
          <w:numId w:val="41"/>
        </w:numPr>
      </w:pPr>
      <w:r>
        <w:t>To wait for a while, the network doesn’t know how long should wait since the network has no information on when the most interesting frequency will be (has been) measured;</w:t>
      </w:r>
    </w:p>
    <w:p w14:paraId="3D0B6CA6" w14:textId="7565E40C" w:rsidR="00F32873" w:rsidRDefault="00080B2E" w:rsidP="00080B2E">
      <w:r>
        <w:t xml:space="preserve">To address the above issue, companies have discussed the solutions </w:t>
      </w:r>
      <w:r w:rsidR="00100727">
        <w:t xml:space="preserve">and the scope of 3GPP work. The common understanding summarized by the offline discussion rapporteur is that </w:t>
      </w:r>
      <w:bookmarkStart w:id="8" w:name="_Hlk141799568"/>
      <w:r w:rsidR="001749E7">
        <w:t>t</w:t>
      </w:r>
      <w:r w:rsidR="001749E7" w:rsidRPr="001749E7">
        <w:t>o address the issue in TEI18, the scope of work needs to be minimized and manageable.</w:t>
      </w:r>
      <w:r w:rsidR="001749E7">
        <w:t xml:space="preserve"> And there is also a strong view on limit the impact to RAN2 only.</w:t>
      </w:r>
      <w:bookmarkEnd w:id="8"/>
    </w:p>
    <w:p w14:paraId="60EA8FED" w14:textId="78F5317A" w:rsidR="001749E7" w:rsidRDefault="001749E7" w:rsidP="001749E7">
      <w:pPr>
        <w:pStyle w:val="Observation"/>
        <w:spacing w:before="120"/>
      </w:pPr>
      <w:bookmarkStart w:id="9" w:name="_Toc142562669"/>
      <w:r>
        <w:t>T</w:t>
      </w:r>
      <w:r w:rsidRPr="001749E7">
        <w:t xml:space="preserve">o address the issue in TEI18, </w:t>
      </w:r>
      <w:r>
        <w:t>it is better to limit</w:t>
      </w:r>
      <w:r w:rsidRPr="001749E7">
        <w:t xml:space="preserve"> the impact to RAN2 only.</w:t>
      </w:r>
      <w:bookmarkEnd w:id="9"/>
    </w:p>
    <w:p w14:paraId="3907B97D" w14:textId="26888A10" w:rsidR="001749E7" w:rsidRDefault="001749E7" w:rsidP="00080B2E">
      <w:r>
        <w:t>For the candidate solutions, if we try to avoid the other WG (RAN4) involvement, and design a RAN2-centric solution, the UE measurement behaviours should not be changed since that are mainly defined by RAN4.</w:t>
      </w:r>
    </w:p>
    <w:p w14:paraId="089358AA" w14:textId="6F1DBAF9" w:rsidR="001749E7" w:rsidRDefault="001749E7" w:rsidP="001749E7">
      <w:pPr>
        <w:pStyle w:val="Observation"/>
        <w:spacing w:before="120"/>
      </w:pPr>
      <w:bookmarkStart w:id="10" w:name="_Toc142562670"/>
      <w:r>
        <w:t>UE measurement behaviour is mainly defined by RAN4 thus should not be impact</w:t>
      </w:r>
      <w:r w:rsidR="00377B68">
        <w:t>ed</w:t>
      </w:r>
      <w:r>
        <w:t>.</w:t>
      </w:r>
      <w:bookmarkEnd w:id="10"/>
    </w:p>
    <w:p w14:paraId="533FE761" w14:textId="77777777" w:rsidR="00850394" w:rsidRDefault="00850394" w:rsidP="001749E7">
      <w:r>
        <w:t>By not impacting UE measurement behaviour (RAN4), the other direction is to consider the UE measurement report behaviour, and the candidates include:</w:t>
      </w:r>
    </w:p>
    <w:p w14:paraId="70F8E75B" w14:textId="584E2BD1" w:rsidR="001749E7" w:rsidRDefault="00850394" w:rsidP="00850394">
      <w:pPr>
        <w:pStyle w:val="aff4"/>
        <w:numPr>
          <w:ilvl w:val="0"/>
          <w:numId w:val="42"/>
        </w:numPr>
      </w:pPr>
      <w:r>
        <w:rPr>
          <w:rFonts w:hint="eastAsia"/>
        </w:rPr>
        <w:t>E</w:t>
      </w:r>
      <w:r>
        <w:t>ither to find a way to let the UE reports frequencies in a</w:t>
      </w:r>
      <w:r w:rsidR="009B4BDA">
        <w:t>n</w:t>
      </w:r>
      <w:r>
        <w:t xml:space="preserve"> order that align with network’s expectation;</w:t>
      </w:r>
    </w:p>
    <w:p w14:paraId="5C63A7C9" w14:textId="021DB938" w:rsidR="0067196C" w:rsidRDefault="00850394" w:rsidP="0067196C">
      <w:pPr>
        <w:pStyle w:val="aff4"/>
        <w:numPr>
          <w:ilvl w:val="0"/>
          <w:numId w:val="42"/>
        </w:numPr>
      </w:pPr>
      <w:r>
        <w:rPr>
          <w:rFonts w:hint="eastAsia"/>
        </w:rPr>
        <w:t>O</w:t>
      </w:r>
      <w:r>
        <w:t xml:space="preserve">r the UE can </w:t>
      </w:r>
      <w:bookmarkStart w:id="11" w:name="_Hlk142300085"/>
      <w:r>
        <w:t>include more information in the measurement report</w:t>
      </w:r>
      <w:bookmarkEnd w:id="11"/>
      <w:r>
        <w:t xml:space="preserve"> (e.g., indicate the frequencies have been measured </w:t>
      </w:r>
      <w:r w:rsidR="009B4BDA">
        <w:t xml:space="preserve">(with available measurement results) </w:t>
      </w:r>
      <w:r>
        <w:t xml:space="preserve">but </w:t>
      </w:r>
      <w:r w:rsidR="009B4BDA">
        <w:t>doesn’t trigger the report event</w:t>
      </w:r>
      <w:r>
        <w:t>).</w:t>
      </w:r>
    </w:p>
    <w:p w14:paraId="2BD2B9BF" w14:textId="3E1BFF7D" w:rsidR="000A3C2F" w:rsidRDefault="00850394" w:rsidP="000A3C2F">
      <w:pPr>
        <w:ind w:left="58"/>
      </w:pPr>
      <w:r>
        <w:rPr>
          <w:rFonts w:hint="eastAsia"/>
        </w:rPr>
        <w:t>F</w:t>
      </w:r>
      <w:r>
        <w:t xml:space="preserve">or the solution of controlling UE measurement report order, it is to </w:t>
      </w:r>
      <w:r w:rsidR="000A3C2F">
        <w:t xml:space="preserve">prioritize </w:t>
      </w:r>
      <w:r w:rsidR="009B4BDA">
        <w:t xml:space="preserve">some of </w:t>
      </w:r>
      <w:r w:rsidR="000A3C2F">
        <w:t xml:space="preserve">the frequencies according to network expectation considering the service type/network load/network deployment. One way to achieve the prioritization is </w:t>
      </w:r>
      <w:r w:rsidR="002C7238">
        <w:t xml:space="preserve">to </w:t>
      </w:r>
      <w:r w:rsidR="00861EA8">
        <w:t>use</w:t>
      </w:r>
      <w:r w:rsidR="00A42A91">
        <w:t xml:space="preserve"> different </w:t>
      </w:r>
      <w:r w:rsidR="00861EA8">
        <w:t xml:space="preserve">trigger condition </w:t>
      </w:r>
      <w:r w:rsidR="00A42A91">
        <w:t>configuration, i.e., high priority measurement object can be configured to associate</w:t>
      </w:r>
      <w:r w:rsidR="009B4BDA">
        <w:t xml:space="preserve"> to</w:t>
      </w:r>
      <w:r w:rsidR="00A42A91">
        <w:t xml:space="preserve"> a report configuration with lower/easier event-trigger threshold and </w:t>
      </w:r>
      <w:r w:rsidR="00A42A91">
        <w:lastRenderedPageBreak/>
        <w:t>low priority measurement object can be configured to associate a report configuration with higher/difficult event-trigger threshold</w:t>
      </w:r>
      <w:r w:rsidR="004C0DF1">
        <w:rPr>
          <w:rFonts w:hint="eastAsia"/>
        </w:rPr>
        <w:t>.</w:t>
      </w:r>
    </w:p>
    <w:p w14:paraId="6573BFD4" w14:textId="54AAE1FC" w:rsidR="00853030" w:rsidRDefault="00853030" w:rsidP="00853030">
      <w:pPr>
        <w:ind w:left="58"/>
        <w:jc w:val="center"/>
      </w:pPr>
      <w:r>
        <w:object w:dxaOrig="7571" w:dyaOrig="4590" w14:anchorId="44BE1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6pt;height:171.55pt" o:ole="">
            <v:imagedata r:id="rId8" o:title=""/>
          </v:shape>
          <o:OLEObject Type="Embed" ProgID="Visio.Drawing.15" ShapeID="_x0000_i1025" DrawAspect="Content" ObjectID="_1753187805" r:id="rId9"/>
        </w:object>
      </w:r>
    </w:p>
    <w:p w14:paraId="3AAC567E" w14:textId="26B47378" w:rsidR="00853030" w:rsidRDefault="00853030" w:rsidP="00853030">
      <w:pPr>
        <w:pStyle w:val="aff2"/>
      </w:pPr>
      <w:r>
        <w:rPr>
          <w:rFonts w:hint="eastAsia"/>
        </w:rPr>
        <w:t>F</w:t>
      </w:r>
      <w:r>
        <w:t xml:space="preserve">igure 1. </w:t>
      </w:r>
      <w:r w:rsidR="0067196C">
        <w:t>Example of prioritization of frequency in the measurement report</w:t>
      </w:r>
    </w:p>
    <w:p w14:paraId="73BE87C0" w14:textId="7ED0C428" w:rsidR="0067196C" w:rsidRDefault="0067196C" w:rsidP="0067196C">
      <w:pPr>
        <w:pStyle w:val="Observation"/>
        <w:spacing w:before="120"/>
      </w:pPr>
      <w:bookmarkStart w:id="12" w:name="_Toc142562671"/>
      <w:r>
        <w:rPr>
          <w:rFonts w:hint="eastAsia"/>
        </w:rPr>
        <w:t>T</w:t>
      </w:r>
      <w:r>
        <w:t xml:space="preserve">he prioritization of frequency in the </w:t>
      </w:r>
      <w:r w:rsidR="00295A4D">
        <w:t>measurement</w:t>
      </w:r>
      <w:r>
        <w:t xml:space="preserve"> report can be achieved by different event trigger threshold configuration.</w:t>
      </w:r>
      <w:bookmarkEnd w:id="12"/>
    </w:p>
    <w:p w14:paraId="638F6139" w14:textId="2163174B" w:rsidR="0067196C" w:rsidRDefault="00F8428F" w:rsidP="0067196C">
      <w:r>
        <w:rPr>
          <w:rFonts w:hint="eastAsia"/>
        </w:rPr>
        <w:t>F</w:t>
      </w:r>
      <w:r>
        <w:t xml:space="preserve">or the solution of </w:t>
      </w:r>
      <w:r w:rsidRPr="00F8428F">
        <w:t>include more information in the measurement report</w:t>
      </w:r>
      <w:r>
        <w:t xml:space="preserve">, currently, UE </w:t>
      </w:r>
      <w:r w:rsidR="00341C8A">
        <w:t xml:space="preserve">can include the available measurement result </w:t>
      </w:r>
      <w:r w:rsidR="00295A4D">
        <w:t>of serving cells in the</w:t>
      </w:r>
      <w:r w:rsidR="00341C8A">
        <w:t xml:space="preserve"> </w:t>
      </w:r>
      <w:proofErr w:type="spellStart"/>
      <w:r w:rsidR="00295A4D" w:rsidRPr="00D45734">
        <w:rPr>
          <w:i/>
        </w:rPr>
        <w:t>measResultServingMOList</w:t>
      </w:r>
      <w:proofErr w:type="spellEnd"/>
      <w:r w:rsidR="00295A4D">
        <w:t xml:space="preserve"> which includes the RSRP, RSRQ and SINR of each serving cell</w:t>
      </w:r>
      <w:r>
        <w:t>.</w:t>
      </w:r>
    </w:p>
    <w:tbl>
      <w:tblPr>
        <w:tblStyle w:val="aff9"/>
        <w:tblW w:w="0" w:type="auto"/>
        <w:tblLook w:val="04A0" w:firstRow="1" w:lastRow="0" w:firstColumn="1" w:lastColumn="0" w:noHBand="0" w:noVBand="1"/>
      </w:tblPr>
      <w:tblGrid>
        <w:gridCol w:w="9629"/>
      </w:tblGrid>
      <w:tr w:rsidR="00295A4D" w14:paraId="27EECBFF" w14:textId="77777777" w:rsidTr="00295A4D">
        <w:tc>
          <w:tcPr>
            <w:tcW w:w="9629" w:type="dxa"/>
          </w:tcPr>
          <w:p w14:paraId="4A05FBA7" w14:textId="77777777" w:rsidR="00295A4D" w:rsidRPr="00295A4D" w:rsidRDefault="00295A4D" w:rsidP="00295A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MS PGothic" w:hAnsi="Times New Roman"/>
                <w:i/>
                <w:iCs/>
                <w:szCs w:val="20"/>
                <w:lang w:eastAsia="ja-JP"/>
              </w:rPr>
            </w:pPr>
            <w:r w:rsidRPr="00295A4D">
              <w:rPr>
                <w:rFonts w:ascii="Times New Roman" w:eastAsia="MS PGothic" w:hAnsi="Times New Roman"/>
                <w:szCs w:val="20"/>
                <w:lang w:eastAsia="ja-JP"/>
              </w:rPr>
              <w:t>1&gt;</w:t>
            </w:r>
            <w:r w:rsidRPr="00295A4D">
              <w:rPr>
                <w:rFonts w:ascii="Times New Roman" w:eastAsia="MS PGothic" w:hAnsi="Times New Roman"/>
                <w:szCs w:val="20"/>
                <w:lang w:eastAsia="ja-JP"/>
              </w:rPr>
              <w:tab/>
              <w:t xml:space="preserve">for each serving cell configured with </w:t>
            </w:r>
            <w:proofErr w:type="spellStart"/>
            <w:r w:rsidRPr="00295A4D">
              <w:rPr>
                <w:rFonts w:ascii="Times New Roman" w:eastAsia="Times New Roman" w:hAnsi="Times New Roman"/>
                <w:i/>
                <w:szCs w:val="20"/>
                <w:lang w:eastAsia="ja-JP"/>
              </w:rPr>
              <w:t>servingCellMO</w:t>
            </w:r>
            <w:proofErr w:type="spellEnd"/>
            <w:r w:rsidRPr="00295A4D">
              <w:rPr>
                <w:rFonts w:ascii="Times New Roman" w:eastAsia="MS PGothic" w:hAnsi="Times New Roman"/>
                <w:iCs/>
                <w:szCs w:val="20"/>
                <w:lang w:eastAsia="ja-JP"/>
              </w:rPr>
              <w:t>:</w:t>
            </w:r>
          </w:p>
          <w:p w14:paraId="62940145" w14:textId="77777777" w:rsidR="00295A4D" w:rsidRPr="00295A4D" w:rsidRDefault="00295A4D" w:rsidP="00295A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S PGothic" w:hAnsi="Times New Roman"/>
                <w:szCs w:val="20"/>
                <w:lang w:eastAsia="ja-JP"/>
              </w:rPr>
            </w:pPr>
            <w:r w:rsidRPr="00295A4D">
              <w:rPr>
                <w:rFonts w:ascii="Times New Roman" w:eastAsia="MS PGothic" w:hAnsi="Times New Roman"/>
                <w:szCs w:val="20"/>
                <w:lang w:eastAsia="ja-JP"/>
              </w:rPr>
              <w:t>2&gt;</w:t>
            </w:r>
            <w:r w:rsidRPr="00295A4D">
              <w:rPr>
                <w:rFonts w:ascii="Times New Roman" w:eastAsia="MS PGothic" w:hAnsi="Times New Roman"/>
                <w:szCs w:val="20"/>
                <w:lang w:eastAsia="ja-JP"/>
              </w:rPr>
              <w:tab/>
              <w:t xml:space="preserve">if the </w:t>
            </w:r>
            <w:proofErr w:type="spellStart"/>
            <w:r w:rsidRPr="00295A4D">
              <w:rPr>
                <w:rFonts w:ascii="Times New Roman" w:eastAsia="Times New Roman" w:hAnsi="Times New Roman"/>
                <w:i/>
                <w:szCs w:val="20"/>
                <w:lang w:eastAsia="ja-JP"/>
              </w:rPr>
              <w:t>reportConfig</w:t>
            </w:r>
            <w:proofErr w:type="spellEnd"/>
            <w:r w:rsidRPr="00295A4D">
              <w:rPr>
                <w:rFonts w:ascii="Times New Roman" w:eastAsia="Times New Roman" w:hAnsi="Times New Roman"/>
                <w:szCs w:val="20"/>
                <w:lang w:eastAsia="ja-JP"/>
              </w:rPr>
              <w:t xml:space="preserve"> associated with the </w:t>
            </w:r>
            <w:proofErr w:type="spellStart"/>
            <w:r w:rsidRPr="00295A4D">
              <w:rPr>
                <w:rFonts w:ascii="Times New Roman" w:eastAsia="Times New Roman" w:hAnsi="Times New Roman"/>
                <w:i/>
                <w:szCs w:val="20"/>
                <w:lang w:eastAsia="ja-JP"/>
              </w:rPr>
              <w:t>measId</w:t>
            </w:r>
            <w:proofErr w:type="spellEnd"/>
            <w:r w:rsidRPr="00295A4D">
              <w:rPr>
                <w:rFonts w:ascii="Times New Roman" w:eastAsia="Times New Roman" w:hAnsi="Times New Roman"/>
                <w:szCs w:val="20"/>
                <w:lang w:eastAsia="ja-JP"/>
              </w:rPr>
              <w:t xml:space="preserve"> that triggered the measurement reporting includes</w:t>
            </w:r>
            <w:r w:rsidRPr="00295A4D">
              <w:rPr>
                <w:rFonts w:ascii="Times New Roman" w:eastAsia="MS PGothic" w:hAnsi="Times New Roman"/>
                <w:szCs w:val="20"/>
                <w:lang w:eastAsia="ja-JP"/>
              </w:rPr>
              <w:t xml:space="preserve"> </w:t>
            </w:r>
            <w:proofErr w:type="spellStart"/>
            <w:r w:rsidRPr="00295A4D">
              <w:rPr>
                <w:rFonts w:ascii="Times New Roman" w:eastAsia="MS PGothic" w:hAnsi="Times New Roman"/>
                <w:i/>
                <w:iCs/>
                <w:szCs w:val="20"/>
                <w:lang w:eastAsia="ja-JP"/>
              </w:rPr>
              <w:t>rsType</w:t>
            </w:r>
            <w:proofErr w:type="spellEnd"/>
            <w:r w:rsidRPr="00295A4D">
              <w:rPr>
                <w:rFonts w:ascii="Times New Roman" w:eastAsia="MS PGothic" w:hAnsi="Times New Roman"/>
                <w:iCs/>
                <w:szCs w:val="20"/>
                <w:lang w:eastAsia="ja-JP"/>
              </w:rPr>
              <w:t>:</w:t>
            </w:r>
          </w:p>
          <w:p w14:paraId="63019878" w14:textId="77777777" w:rsidR="00295A4D" w:rsidRPr="00295A4D" w:rsidRDefault="00295A4D" w:rsidP="00295A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S PGothic" w:hAnsi="Times New Roman"/>
                <w:szCs w:val="20"/>
                <w:lang w:eastAsia="ja-JP"/>
              </w:rPr>
            </w:pPr>
            <w:r w:rsidRPr="00295A4D">
              <w:rPr>
                <w:rFonts w:ascii="Times New Roman" w:eastAsia="MS PGothic" w:hAnsi="Times New Roman"/>
                <w:szCs w:val="20"/>
                <w:lang w:eastAsia="ja-JP"/>
              </w:rPr>
              <w:t>3&gt;</w:t>
            </w:r>
            <w:r w:rsidRPr="00295A4D">
              <w:rPr>
                <w:rFonts w:ascii="Times New Roman" w:eastAsia="MS PGothic" w:hAnsi="Times New Roman"/>
                <w:szCs w:val="20"/>
                <w:lang w:eastAsia="ja-JP"/>
              </w:rPr>
              <w:tab/>
              <w:t xml:space="preserve">if the serving cell measurements based on the </w:t>
            </w:r>
            <w:proofErr w:type="spellStart"/>
            <w:r w:rsidRPr="00295A4D">
              <w:rPr>
                <w:rFonts w:ascii="Times New Roman" w:eastAsia="MS PGothic" w:hAnsi="Times New Roman"/>
                <w:i/>
                <w:iCs/>
                <w:szCs w:val="20"/>
                <w:lang w:eastAsia="ja-JP"/>
              </w:rPr>
              <w:t>rsType</w:t>
            </w:r>
            <w:proofErr w:type="spellEnd"/>
            <w:r w:rsidRPr="00295A4D">
              <w:rPr>
                <w:rFonts w:ascii="Times New Roman" w:eastAsia="MS PGothic" w:hAnsi="Times New Roman"/>
                <w:i/>
                <w:iCs/>
                <w:szCs w:val="20"/>
                <w:lang w:eastAsia="ja-JP"/>
              </w:rPr>
              <w:t xml:space="preserve"> </w:t>
            </w:r>
            <w:r w:rsidRPr="00295A4D">
              <w:rPr>
                <w:rFonts w:ascii="Times New Roman" w:eastAsia="MS PGothic" w:hAnsi="Times New Roman"/>
                <w:iCs/>
                <w:szCs w:val="20"/>
                <w:lang w:eastAsia="ja-JP"/>
              </w:rPr>
              <w:t xml:space="preserve">included in the </w:t>
            </w:r>
            <w:proofErr w:type="spellStart"/>
            <w:r w:rsidRPr="00295A4D">
              <w:rPr>
                <w:rFonts w:ascii="Times New Roman" w:eastAsia="Times New Roman" w:hAnsi="Times New Roman"/>
                <w:i/>
                <w:szCs w:val="20"/>
                <w:lang w:eastAsia="ja-JP"/>
              </w:rPr>
              <w:t>reportConfig</w:t>
            </w:r>
            <w:proofErr w:type="spellEnd"/>
            <w:r w:rsidRPr="00295A4D">
              <w:rPr>
                <w:rFonts w:ascii="Times New Roman" w:eastAsia="Times New Roman" w:hAnsi="Times New Roman"/>
                <w:szCs w:val="20"/>
                <w:lang w:eastAsia="ja-JP"/>
              </w:rPr>
              <w:t xml:space="preserve"> </w:t>
            </w:r>
            <w:r w:rsidRPr="00295A4D">
              <w:rPr>
                <w:rFonts w:ascii="Times New Roman" w:eastAsia="MS PGothic" w:hAnsi="Times New Roman"/>
                <w:iCs/>
                <w:szCs w:val="20"/>
                <w:lang w:eastAsia="ja-JP"/>
              </w:rPr>
              <w:t>that triggered the measurement report are available:</w:t>
            </w:r>
          </w:p>
          <w:p w14:paraId="4F431CB8" w14:textId="77777777" w:rsidR="00295A4D" w:rsidRPr="00295A4D" w:rsidRDefault="00295A4D" w:rsidP="00295A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MS PGothic" w:hAnsi="Times New Roman"/>
                <w:szCs w:val="20"/>
                <w:lang w:eastAsia="ja-JP"/>
              </w:rPr>
            </w:pPr>
            <w:r w:rsidRPr="00295A4D">
              <w:rPr>
                <w:rFonts w:ascii="Times New Roman" w:eastAsia="MS PGothic" w:hAnsi="Times New Roman"/>
                <w:szCs w:val="20"/>
                <w:highlight w:val="yellow"/>
                <w:lang w:eastAsia="ja-JP"/>
              </w:rPr>
              <w:t>4&gt;</w:t>
            </w:r>
            <w:r w:rsidRPr="00295A4D">
              <w:rPr>
                <w:rFonts w:ascii="Times New Roman" w:eastAsia="MS PGothic" w:hAnsi="Times New Roman"/>
                <w:szCs w:val="20"/>
                <w:highlight w:val="yellow"/>
                <w:lang w:eastAsia="ja-JP"/>
              </w:rPr>
              <w:tab/>
              <w:t xml:space="preserve">set the </w:t>
            </w:r>
            <w:proofErr w:type="spellStart"/>
            <w:r w:rsidRPr="00295A4D">
              <w:rPr>
                <w:rFonts w:ascii="Times New Roman" w:eastAsia="MS PGothic" w:hAnsi="Times New Roman"/>
                <w:i/>
                <w:iCs/>
                <w:szCs w:val="20"/>
                <w:highlight w:val="yellow"/>
                <w:lang w:eastAsia="ja-JP"/>
              </w:rPr>
              <w:t>measResultServingCell</w:t>
            </w:r>
            <w:proofErr w:type="spellEnd"/>
            <w:r w:rsidRPr="00295A4D">
              <w:rPr>
                <w:rFonts w:ascii="Times New Roman" w:eastAsia="MS PGothic" w:hAnsi="Times New Roman"/>
                <w:szCs w:val="20"/>
                <w:highlight w:val="yellow"/>
                <w:lang w:eastAsia="ja-JP"/>
              </w:rPr>
              <w:t xml:space="preserve"> within </w:t>
            </w:r>
            <w:proofErr w:type="spellStart"/>
            <w:r w:rsidRPr="00295A4D">
              <w:rPr>
                <w:rFonts w:ascii="Times New Roman" w:eastAsia="MS PGothic" w:hAnsi="Times New Roman"/>
                <w:i/>
                <w:iCs/>
                <w:szCs w:val="20"/>
                <w:highlight w:val="yellow"/>
                <w:lang w:eastAsia="ja-JP"/>
              </w:rPr>
              <w:t>measResultServingMOList</w:t>
            </w:r>
            <w:proofErr w:type="spellEnd"/>
            <w:r w:rsidRPr="00295A4D">
              <w:rPr>
                <w:rFonts w:ascii="Times New Roman" w:eastAsia="MS PGothic" w:hAnsi="Times New Roman"/>
                <w:szCs w:val="20"/>
                <w:highlight w:val="yellow"/>
                <w:lang w:eastAsia="ja-JP"/>
              </w:rPr>
              <w:t xml:space="preserve"> to include RSRP, RSRQ and the available SINR of the serving cell, derived based on the </w:t>
            </w:r>
            <w:proofErr w:type="spellStart"/>
            <w:r w:rsidRPr="00295A4D">
              <w:rPr>
                <w:rFonts w:ascii="Times New Roman" w:eastAsia="MS PGothic" w:hAnsi="Times New Roman"/>
                <w:i/>
                <w:iCs/>
                <w:szCs w:val="20"/>
                <w:highlight w:val="yellow"/>
                <w:lang w:eastAsia="ja-JP"/>
              </w:rPr>
              <w:t>rsType</w:t>
            </w:r>
            <w:proofErr w:type="spellEnd"/>
            <w:r w:rsidRPr="00295A4D">
              <w:rPr>
                <w:rFonts w:ascii="Times New Roman" w:eastAsia="MS PGothic" w:hAnsi="Times New Roman"/>
                <w:szCs w:val="20"/>
                <w:highlight w:val="yellow"/>
                <w:lang w:eastAsia="ja-JP"/>
              </w:rPr>
              <w:t xml:space="preserve"> included in the </w:t>
            </w:r>
            <w:proofErr w:type="spellStart"/>
            <w:r w:rsidRPr="00295A4D">
              <w:rPr>
                <w:rFonts w:ascii="Times New Roman" w:eastAsia="MS PGothic" w:hAnsi="Times New Roman"/>
                <w:i/>
                <w:iCs/>
                <w:szCs w:val="20"/>
                <w:highlight w:val="yellow"/>
                <w:lang w:eastAsia="ja-JP"/>
              </w:rPr>
              <w:t>reportConfig</w:t>
            </w:r>
            <w:proofErr w:type="spellEnd"/>
            <w:r w:rsidRPr="00295A4D">
              <w:rPr>
                <w:rFonts w:ascii="Times New Roman" w:eastAsia="MS PGothic" w:hAnsi="Times New Roman"/>
                <w:i/>
                <w:iCs/>
                <w:szCs w:val="20"/>
                <w:highlight w:val="yellow"/>
                <w:lang w:eastAsia="ja-JP"/>
              </w:rPr>
              <w:t xml:space="preserve"> </w:t>
            </w:r>
            <w:r w:rsidRPr="00295A4D">
              <w:rPr>
                <w:rFonts w:ascii="Times New Roman" w:eastAsia="MS PGothic" w:hAnsi="Times New Roman"/>
                <w:iCs/>
                <w:szCs w:val="20"/>
                <w:highlight w:val="yellow"/>
                <w:lang w:eastAsia="ja-JP"/>
              </w:rPr>
              <w:t>that triggered the measurement report;</w:t>
            </w:r>
          </w:p>
          <w:p w14:paraId="5CB1929D" w14:textId="77777777" w:rsidR="00295A4D" w:rsidRPr="00295A4D" w:rsidRDefault="00295A4D" w:rsidP="00295A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MS PGothic" w:hAnsi="Times New Roman"/>
                <w:szCs w:val="20"/>
                <w:lang w:eastAsia="ja-JP"/>
              </w:rPr>
            </w:pPr>
            <w:r w:rsidRPr="00295A4D">
              <w:rPr>
                <w:rFonts w:ascii="Times New Roman" w:eastAsia="MS PGothic" w:hAnsi="Times New Roman"/>
                <w:szCs w:val="20"/>
                <w:lang w:eastAsia="ja-JP"/>
              </w:rPr>
              <w:t>2&gt;</w:t>
            </w:r>
            <w:r w:rsidRPr="00295A4D">
              <w:rPr>
                <w:rFonts w:ascii="Times New Roman" w:eastAsia="MS PGothic" w:hAnsi="Times New Roman"/>
                <w:szCs w:val="20"/>
                <w:lang w:eastAsia="ja-JP"/>
              </w:rPr>
              <w:tab/>
              <w:t>else</w:t>
            </w:r>
            <w:r w:rsidRPr="00295A4D">
              <w:rPr>
                <w:rFonts w:ascii="Times New Roman" w:eastAsia="MS PGothic" w:hAnsi="Times New Roman"/>
                <w:iCs/>
                <w:szCs w:val="20"/>
                <w:lang w:eastAsia="ja-JP"/>
              </w:rPr>
              <w:t>:</w:t>
            </w:r>
          </w:p>
          <w:p w14:paraId="23526DB9" w14:textId="77777777" w:rsidR="00295A4D" w:rsidRPr="00295A4D" w:rsidRDefault="00295A4D" w:rsidP="00295A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S PGothic" w:hAnsi="Times New Roman"/>
                <w:szCs w:val="20"/>
                <w:lang w:eastAsia="ko-KR"/>
              </w:rPr>
            </w:pPr>
            <w:r w:rsidRPr="00295A4D">
              <w:rPr>
                <w:rFonts w:ascii="Times New Roman" w:eastAsia="MS PGothic" w:hAnsi="Times New Roman"/>
                <w:szCs w:val="20"/>
                <w:lang w:eastAsia="ko-KR"/>
              </w:rPr>
              <w:t>3&gt;</w:t>
            </w:r>
            <w:r w:rsidRPr="00295A4D">
              <w:rPr>
                <w:rFonts w:ascii="Times New Roman" w:eastAsia="MS PGothic" w:hAnsi="Times New Roman"/>
                <w:szCs w:val="20"/>
                <w:lang w:eastAsia="ko-KR"/>
              </w:rPr>
              <w:tab/>
            </w:r>
            <w:r w:rsidRPr="00295A4D">
              <w:rPr>
                <w:rFonts w:ascii="Times New Roman" w:eastAsia="MS PGothic" w:hAnsi="Times New Roman"/>
                <w:szCs w:val="20"/>
                <w:lang w:eastAsia="ja-JP"/>
              </w:rPr>
              <w:t>if SSB based serving cell measurements are available:</w:t>
            </w:r>
          </w:p>
          <w:p w14:paraId="2C482022" w14:textId="77777777" w:rsidR="00295A4D" w:rsidRPr="00295A4D" w:rsidRDefault="00295A4D" w:rsidP="00295A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ja-JP"/>
              </w:rPr>
            </w:pPr>
            <w:r w:rsidRPr="00295A4D">
              <w:rPr>
                <w:rFonts w:ascii="Times New Roman" w:eastAsia="Times New Roman" w:hAnsi="Times New Roman"/>
                <w:szCs w:val="20"/>
                <w:highlight w:val="yellow"/>
                <w:lang w:eastAsia="ja-JP"/>
              </w:rPr>
              <w:t>4&gt;</w:t>
            </w:r>
            <w:r w:rsidRPr="00295A4D">
              <w:rPr>
                <w:rFonts w:ascii="Times New Roman" w:eastAsia="Times New Roman" w:hAnsi="Times New Roman"/>
                <w:szCs w:val="20"/>
                <w:highlight w:val="yellow"/>
                <w:lang w:eastAsia="ja-JP"/>
              </w:rPr>
              <w:tab/>
            </w:r>
            <w:r w:rsidRPr="00295A4D">
              <w:rPr>
                <w:rFonts w:ascii="Times New Roman" w:eastAsia="MS PGothic" w:hAnsi="Times New Roman"/>
                <w:szCs w:val="20"/>
                <w:highlight w:val="yellow"/>
                <w:lang w:eastAsia="ja-JP"/>
              </w:rPr>
              <w:t xml:space="preserve">set the </w:t>
            </w:r>
            <w:proofErr w:type="spellStart"/>
            <w:r w:rsidRPr="00295A4D">
              <w:rPr>
                <w:rFonts w:ascii="Times New Roman" w:eastAsia="MS PGothic" w:hAnsi="Times New Roman"/>
                <w:i/>
                <w:iCs/>
                <w:szCs w:val="20"/>
                <w:highlight w:val="yellow"/>
                <w:lang w:eastAsia="ja-JP"/>
              </w:rPr>
              <w:t>measResultServingCell</w:t>
            </w:r>
            <w:proofErr w:type="spellEnd"/>
            <w:r w:rsidRPr="00295A4D">
              <w:rPr>
                <w:rFonts w:ascii="Times New Roman" w:eastAsia="MS PGothic" w:hAnsi="Times New Roman"/>
                <w:szCs w:val="20"/>
                <w:highlight w:val="yellow"/>
                <w:lang w:eastAsia="ja-JP"/>
              </w:rPr>
              <w:t xml:space="preserve"> within </w:t>
            </w:r>
            <w:proofErr w:type="spellStart"/>
            <w:r w:rsidRPr="00295A4D">
              <w:rPr>
                <w:rFonts w:ascii="Times New Roman" w:eastAsia="MS PGothic" w:hAnsi="Times New Roman"/>
                <w:i/>
                <w:iCs/>
                <w:szCs w:val="20"/>
                <w:highlight w:val="yellow"/>
                <w:lang w:eastAsia="ja-JP"/>
              </w:rPr>
              <w:t>measResultServingMOList</w:t>
            </w:r>
            <w:proofErr w:type="spellEnd"/>
            <w:r w:rsidRPr="00295A4D">
              <w:rPr>
                <w:rFonts w:ascii="Times New Roman" w:eastAsia="MS PGothic" w:hAnsi="Times New Roman"/>
                <w:szCs w:val="20"/>
                <w:highlight w:val="yellow"/>
                <w:lang w:eastAsia="ja-JP"/>
              </w:rPr>
              <w:t xml:space="preserve"> to include RSRP, RSRQ and the available SINR of the serving cell, derived based on SSB</w:t>
            </w:r>
            <w:r w:rsidRPr="00295A4D">
              <w:rPr>
                <w:rFonts w:ascii="Times New Roman" w:eastAsia="Times New Roman" w:hAnsi="Times New Roman"/>
                <w:szCs w:val="20"/>
                <w:highlight w:val="yellow"/>
                <w:lang w:eastAsia="ja-JP"/>
              </w:rPr>
              <w:t>;</w:t>
            </w:r>
          </w:p>
          <w:p w14:paraId="66058E98" w14:textId="77777777" w:rsidR="00295A4D" w:rsidRPr="00295A4D" w:rsidRDefault="00295A4D" w:rsidP="00295A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S PGothic" w:hAnsi="Times New Roman"/>
                <w:szCs w:val="20"/>
                <w:lang w:eastAsia="ja-JP"/>
              </w:rPr>
            </w:pPr>
            <w:r w:rsidRPr="00295A4D">
              <w:rPr>
                <w:rFonts w:ascii="Times New Roman" w:eastAsia="MS PGothic" w:hAnsi="Times New Roman"/>
                <w:szCs w:val="20"/>
                <w:lang w:eastAsia="ja-JP"/>
              </w:rPr>
              <w:t>3&gt;</w:t>
            </w:r>
            <w:r w:rsidRPr="00295A4D">
              <w:rPr>
                <w:rFonts w:ascii="Times New Roman" w:eastAsia="MS PGothic" w:hAnsi="Times New Roman"/>
                <w:szCs w:val="20"/>
                <w:lang w:eastAsia="ja-JP"/>
              </w:rPr>
              <w:tab/>
              <w:t>else if CSI-RS based serving cell measurements are available:</w:t>
            </w:r>
          </w:p>
          <w:p w14:paraId="0979FD15" w14:textId="180367D3" w:rsidR="00295A4D" w:rsidRPr="00D45734" w:rsidRDefault="00295A4D" w:rsidP="00D4573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MS PGothic" w:hAnsi="Times New Roman"/>
                <w:szCs w:val="20"/>
                <w:lang w:eastAsia="ja-JP"/>
              </w:rPr>
            </w:pPr>
            <w:r w:rsidRPr="00295A4D">
              <w:rPr>
                <w:rFonts w:ascii="Times New Roman" w:eastAsia="Times New Roman" w:hAnsi="Times New Roman"/>
                <w:szCs w:val="20"/>
                <w:highlight w:val="yellow"/>
                <w:lang w:eastAsia="ja-JP"/>
              </w:rPr>
              <w:t>4&gt;</w:t>
            </w:r>
            <w:r w:rsidRPr="00295A4D">
              <w:rPr>
                <w:rFonts w:ascii="Times New Roman" w:eastAsia="Times New Roman" w:hAnsi="Times New Roman"/>
                <w:szCs w:val="20"/>
                <w:highlight w:val="yellow"/>
                <w:lang w:eastAsia="ja-JP"/>
              </w:rPr>
              <w:tab/>
            </w:r>
            <w:r w:rsidRPr="00295A4D">
              <w:rPr>
                <w:rFonts w:ascii="Times New Roman" w:eastAsia="MS PGothic" w:hAnsi="Times New Roman"/>
                <w:szCs w:val="20"/>
                <w:highlight w:val="yellow"/>
                <w:lang w:eastAsia="ja-JP"/>
              </w:rPr>
              <w:t xml:space="preserve">set the </w:t>
            </w:r>
            <w:proofErr w:type="spellStart"/>
            <w:r w:rsidRPr="00295A4D">
              <w:rPr>
                <w:rFonts w:ascii="Times New Roman" w:eastAsia="MS PGothic" w:hAnsi="Times New Roman"/>
                <w:i/>
                <w:iCs/>
                <w:szCs w:val="20"/>
                <w:highlight w:val="yellow"/>
                <w:lang w:eastAsia="ja-JP"/>
              </w:rPr>
              <w:t>measResultServingCell</w:t>
            </w:r>
            <w:proofErr w:type="spellEnd"/>
            <w:r w:rsidRPr="00295A4D">
              <w:rPr>
                <w:rFonts w:ascii="Times New Roman" w:eastAsia="MS PGothic" w:hAnsi="Times New Roman"/>
                <w:szCs w:val="20"/>
                <w:highlight w:val="yellow"/>
                <w:lang w:eastAsia="ja-JP"/>
              </w:rPr>
              <w:t xml:space="preserve"> within </w:t>
            </w:r>
            <w:proofErr w:type="spellStart"/>
            <w:r w:rsidRPr="00295A4D">
              <w:rPr>
                <w:rFonts w:ascii="Times New Roman" w:eastAsia="MS PGothic" w:hAnsi="Times New Roman"/>
                <w:i/>
                <w:iCs/>
                <w:szCs w:val="20"/>
                <w:highlight w:val="yellow"/>
                <w:lang w:eastAsia="ja-JP"/>
              </w:rPr>
              <w:t>measResultServingMOList</w:t>
            </w:r>
            <w:proofErr w:type="spellEnd"/>
            <w:r w:rsidRPr="00295A4D">
              <w:rPr>
                <w:rFonts w:ascii="Times New Roman" w:eastAsia="MS PGothic" w:hAnsi="Times New Roman"/>
                <w:szCs w:val="20"/>
                <w:highlight w:val="yellow"/>
                <w:lang w:eastAsia="ja-JP"/>
              </w:rPr>
              <w:t xml:space="preserve"> to include RSRP, RSRQ and the available SINR of the serving cell, derived based on CSI-RS;</w:t>
            </w:r>
          </w:p>
        </w:tc>
      </w:tr>
    </w:tbl>
    <w:p w14:paraId="7A0DD5A1" w14:textId="77777777" w:rsidR="00295A4D" w:rsidRDefault="00295A4D" w:rsidP="0067196C"/>
    <w:p w14:paraId="412A8B7D" w14:textId="26428577" w:rsidR="00F8428F" w:rsidRDefault="00295A4D" w:rsidP="00F8428F">
      <w:pPr>
        <w:pStyle w:val="Observation"/>
        <w:spacing w:before="120"/>
      </w:pPr>
      <w:bookmarkStart w:id="13" w:name="_Toc142562672"/>
      <w:r>
        <w:t>C</w:t>
      </w:r>
      <w:r w:rsidRPr="00295A4D">
        <w:t xml:space="preserve">urrently, UE can include the available measurement result of serving cells in the </w:t>
      </w:r>
      <w:proofErr w:type="spellStart"/>
      <w:r w:rsidRPr="00295A4D">
        <w:t>measResultServingMOList</w:t>
      </w:r>
      <w:proofErr w:type="spellEnd"/>
      <w:r w:rsidRPr="00295A4D">
        <w:t xml:space="preserve"> which includes the RSRP,</w:t>
      </w:r>
      <w:r>
        <w:t xml:space="preserve"> </w:t>
      </w:r>
      <w:r w:rsidRPr="00295A4D">
        <w:t>RSRQ and SINR of each serving cell.</w:t>
      </w:r>
      <w:bookmarkEnd w:id="13"/>
    </w:p>
    <w:p w14:paraId="5DC377ED" w14:textId="7CA173CC" w:rsidR="00295A4D" w:rsidRDefault="00295A4D" w:rsidP="001F19C2">
      <w:r>
        <w:rPr>
          <w:rFonts w:hint="eastAsia"/>
        </w:rPr>
        <w:t>A</w:t>
      </w:r>
      <w:r>
        <w:t xml:space="preserve">nd the similar approach can be used to also include the measurement results of non-serving cells.  </w:t>
      </w:r>
    </w:p>
    <w:p w14:paraId="202A304A" w14:textId="77777777" w:rsidR="00295A4D" w:rsidRDefault="001F19C2" w:rsidP="001F19C2">
      <w:r>
        <w:rPr>
          <w:rFonts w:hint="eastAsia"/>
        </w:rPr>
        <w:t>I</w:t>
      </w:r>
      <w:r>
        <w:t xml:space="preserve">n summary, the </w:t>
      </w:r>
      <w:r w:rsidR="00295A4D">
        <w:t>following 2 options can be considered to solve the issue and limit the work in RAN2:</w:t>
      </w:r>
    </w:p>
    <w:p w14:paraId="230A576A" w14:textId="0E5618C9" w:rsidR="001F19C2" w:rsidRDefault="00295A4D" w:rsidP="00D45734">
      <w:pPr>
        <w:pStyle w:val="aff4"/>
        <w:numPr>
          <w:ilvl w:val="0"/>
          <w:numId w:val="44"/>
        </w:numPr>
      </w:pPr>
      <w:r>
        <w:t>Option-1:</w:t>
      </w:r>
      <w:r w:rsidR="001F19C2">
        <w:t xml:space="preserve"> </w:t>
      </w:r>
      <w:r w:rsidR="001F19C2" w:rsidRPr="00D45734">
        <w:rPr>
          <w:b/>
        </w:rPr>
        <w:t>using different event trigger threshold configuration to prioritize different frequencies</w:t>
      </w:r>
      <w:r w:rsidR="001F19C2">
        <w:t xml:space="preserve"> and thus let the UE to report the frequencies in </w:t>
      </w:r>
      <w:r w:rsidR="00372614">
        <w:t>an</w:t>
      </w:r>
      <w:r w:rsidR="001F19C2">
        <w:t xml:space="preserve"> order that align with network expectation</w:t>
      </w:r>
      <w:r>
        <w:t>;</w:t>
      </w:r>
    </w:p>
    <w:p w14:paraId="1569AF48" w14:textId="4EE4A6DD" w:rsidR="00372614" w:rsidRDefault="00295A4D" w:rsidP="00D45734">
      <w:pPr>
        <w:pStyle w:val="aff4"/>
        <w:numPr>
          <w:ilvl w:val="0"/>
          <w:numId w:val="44"/>
        </w:numPr>
      </w:pPr>
      <w:r>
        <w:rPr>
          <w:rFonts w:hint="eastAsia"/>
        </w:rPr>
        <w:t>O</w:t>
      </w:r>
      <w:r>
        <w:t xml:space="preserve">ption-2: </w:t>
      </w:r>
      <w:r w:rsidR="00372614" w:rsidRPr="00D45734">
        <w:rPr>
          <w:b/>
        </w:rPr>
        <w:t xml:space="preserve">add a new field in the measurement result to include the available measurement results of non-serving </w:t>
      </w:r>
      <w:r w:rsidR="009B4BDA">
        <w:rPr>
          <w:b/>
        </w:rPr>
        <w:t>frequencies with configured MO</w:t>
      </w:r>
      <w:r w:rsidR="00372614">
        <w:t xml:space="preserve"> which is similar to the serving cell mechanism.</w:t>
      </w:r>
    </w:p>
    <w:p w14:paraId="1671DA3E" w14:textId="77777777" w:rsidR="00372614" w:rsidRDefault="001F19C2" w:rsidP="001F19C2">
      <w:pPr>
        <w:pStyle w:val="Proposal"/>
      </w:pPr>
      <w:bookmarkStart w:id="14" w:name="_Toc142569458"/>
      <w:r>
        <w:t>For the issue on “</w:t>
      </w:r>
      <w:r w:rsidRPr="001F19C2">
        <w:t>latency from MO co</w:t>
      </w:r>
      <w:bookmarkStart w:id="15" w:name="_GoBack"/>
      <w:bookmarkEnd w:id="15"/>
      <w:r w:rsidRPr="001F19C2">
        <w:t>nfiguration to Measurement Report for the most interesting frequency(</w:t>
      </w:r>
      <w:proofErr w:type="spellStart"/>
      <w:r w:rsidRPr="001F19C2">
        <w:t>ies</w:t>
      </w:r>
      <w:proofErr w:type="spellEnd"/>
      <w:r w:rsidRPr="001F19C2">
        <w:t>)</w:t>
      </w:r>
      <w:r>
        <w:t xml:space="preserve">”, </w:t>
      </w:r>
      <w:r>
        <w:rPr>
          <w:rFonts w:hint="eastAsia"/>
        </w:rPr>
        <w:t>R</w:t>
      </w:r>
      <w:r>
        <w:t xml:space="preserve">AN2 to discuss </w:t>
      </w:r>
      <w:r w:rsidR="00372614">
        <w:t>the following 2 Options:</w:t>
      </w:r>
      <w:bookmarkEnd w:id="14"/>
    </w:p>
    <w:p w14:paraId="68CCE86D" w14:textId="0AFE754A" w:rsidR="001F19C2" w:rsidRDefault="00372614" w:rsidP="00D45734">
      <w:pPr>
        <w:pStyle w:val="Proposal"/>
        <w:numPr>
          <w:ilvl w:val="0"/>
          <w:numId w:val="0"/>
        </w:numPr>
        <w:ind w:left="1701"/>
      </w:pPr>
      <w:bookmarkStart w:id="16" w:name="_Toc142569459"/>
      <w:r>
        <w:lastRenderedPageBreak/>
        <w:t xml:space="preserve">Option-1: </w:t>
      </w:r>
      <w:r w:rsidR="001F19C2">
        <w:t>to prioritize different frequencies by setting different event trigger threshold configurations.</w:t>
      </w:r>
      <w:bookmarkEnd w:id="16"/>
    </w:p>
    <w:p w14:paraId="5EE64A3C" w14:textId="2FB619F0" w:rsidR="00372614" w:rsidRPr="001F19C2" w:rsidRDefault="00372614" w:rsidP="00D45734">
      <w:pPr>
        <w:pStyle w:val="Proposal"/>
        <w:numPr>
          <w:ilvl w:val="0"/>
          <w:numId w:val="0"/>
        </w:numPr>
        <w:ind w:left="1701"/>
      </w:pPr>
      <w:bookmarkStart w:id="17" w:name="_Toc142569460"/>
      <w:r>
        <w:rPr>
          <w:rFonts w:hint="eastAsia"/>
        </w:rPr>
        <w:t>O</w:t>
      </w:r>
      <w:r>
        <w:t xml:space="preserve">ption-2: </w:t>
      </w:r>
      <w:r w:rsidRPr="00372614">
        <w:t xml:space="preserve">add a new field in the measurement result to include the available measurement results of non-serving </w:t>
      </w:r>
      <w:r w:rsidR="00D45734">
        <w:rPr>
          <w:rFonts w:hint="eastAsia"/>
        </w:rPr>
        <w:t>frequencies</w:t>
      </w:r>
      <w:r w:rsidR="00D45734">
        <w:t xml:space="preserve"> with configured MO.</w:t>
      </w:r>
      <w:bookmarkEnd w:id="17"/>
    </w:p>
    <w:p w14:paraId="2E58CC51" w14:textId="77777777" w:rsidR="00FB3C9D" w:rsidRDefault="003D1DDD">
      <w:pPr>
        <w:pStyle w:val="1"/>
      </w:pPr>
      <w:bookmarkStart w:id="18" w:name="_Toc131757160"/>
      <w:r>
        <w:t>Conclusion</w:t>
      </w:r>
      <w:bookmarkEnd w:id="18"/>
    </w:p>
    <w:p w14:paraId="79F8DF0B" w14:textId="12185715" w:rsidR="001A4B2D" w:rsidRDefault="001A4B2D">
      <w:r>
        <w:t>W</w:t>
      </w:r>
      <w:r>
        <w:rPr>
          <w:rFonts w:hint="eastAsia"/>
        </w:rPr>
        <w:t>e</w:t>
      </w:r>
      <w:r>
        <w:t xml:space="preserve"> have the following ob</w:t>
      </w:r>
      <w:r w:rsidR="00D45734">
        <w:rPr>
          <w:rFonts w:hint="eastAsia"/>
        </w:rPr>
        <w:t>s</w:t>
      </w:r>
      <w:r>
        <w:t>ervations:</w:t>
      </w:r>
    </w:p>
    <w:p w14:paraId="47ED772F" w14:textId="575BAC6A" w:rsidR="00372614" w:rsidRDefault="00B73F85">
      <w:pPr>
        <w:pStyle w:val="TOC1"/>
        <w:rPr>
          <w:rFonts w:asciiTheme="minorHAnsi" w:eastAsiaTheme="minorEastAsia" w:hAnsiTheme="minorHAnsi" w:cstheme="minorBidi"/>
          <w:b w:val="0"/>
          <w:noProof/>
          <w:kern w:val="2"/>
          <w:sz w:val="21"/>
        </w:rPr>
      </w:pPr>
      <w:r>
        <w:fldChar w:fldCharType="begin"/>
      </w:r>
      <w:r>
        <w:instrText xml:space="preserve"> TOC \n \h \z \t "Observation,1" </w:instrText>
      </w:r>
      <w:r>
        <w:fldChar w:fldCharType="separate"/>
      </w:r>
      <w:hyperlink w:anchor="_Toc142562669" w:history="1">
        <w:r w:rsidR="00372614" w:rsidRPr="00F10586">
          <w:rPr>
            <w:rStyle w:val="af3"/>
            <w:noProof/>
          </w:rPr>
          <w:t>Observation 1</w:t>
        </w:r>
        <w:r w:rsidR="00372614">
          <w:rPr>
            <w:rFonts w:asciiTheme="minorHAnsi" w:eastAsiaTheme="minorEastAsia" w:hAnsiTheme="minorHAnsi" w:cstheme="minorBidi"/>
            <w:b w:val="0"/>
            <w:noProof/>
            <w:kern w:val="2"/>
            <w:sz w:val="21"/>
          </w:rPr>
          <w:tab/>
        </w:r>
        <w:r w:rsidR="00372614" w:rsidRPr="00F10586">
          <w:rPr>
            <w:rStyle w:val="af3"/>
            <w:noProof/>
          </w:rPr>
          <w:t>To address the issue in TEI18, it is better to limit the impact to RAN2 only.</w:t>
        </w:r>
      </w:hyperlink>
    </w:p>
    <w:p w14:paraId="7C022694" w14:textId="50F2A54E" w:rsidR="00372614" w:rsidRDefault="000F056D">
      <w:pPr>
        <w:pStyle w:val="TOC1"/>
        <w:rPr>
          <w:rFonts w:asciiTheme="minorHAnsi" w:eastAsiaTheme="minorEastAsia" w:hAnsiTheme="minorHAnsi" w:cstheme="minorBidi"/>
          <w:b w:val="0"/>
          <w:noProof/>
          <w:kern w:val="2"/>
          <w:sz w:val="21"/>
        </w:rPr>
      </w:pPr>
      <w:hyperlink w:anchor="_Toc142562670" w:history="1">
        <w:r w:rsidR="00372614" w:rsidRPr="00F10586">
          <w:rPr>
            <w:rStyle w:val="af3"/>
            <w:noProof/>
          </w:rPr>
          <w:t>Observation 2</w:t>
        </w:r>
        <w:r w:rsidR="00372614">
          <w:rPr>
            <w:rFonts w:asciiTheme="minorHAnsi" w:eastAsiaTheme="minorEastAsia" w:hAnsiTheme="minorHAnsi" w:cstheme="minorBidi"/>
            <w:b w:val="0"/>
            <w:noProof/>
            <w:kern w:val="2"/>
            <w:sz w:val="21"/>
          </w:rPr>
          <w:tab/>
        </w:r>
        <w:r w:rsidR="00372614" w:rsidRPr="00F10586">
          <w:rPr>
            <w:rStyle w:val="af3"/>
            <w:noProof/>
          </w:rPr>
          <w:t>UE measurement behaviour is mainly defined by RAN4 thus should not be impacted.</w:t>
        </w:r>
      </w:hyperlink>
    </w:p>
    <w:p w14:paraId="798EFA2B" w14:textId="6712E4E5" w:rsidR="00372614" w:rsidRDefault="000F056D">
      <w:pPr>
        <w:pStyle w:val="TOC1"/>
        <w:rPr>
          <w:rFonts w:asciiTheme="minorHAnsi" w:eastAsiaTheme="minorEastAsia" w:hAnsiTheme="minorHAnsi" w:cstheme="minorBidi"/>
          <w:b w:val="0"/>
          <w:noProof/>
          <w:kern w:val="2"/>
          <w:sz w:val="21"/>
        </w:rPr>
      </w:pPr>
      <w:hyperlink w:anchor="_Toc142562671" w:history="1">
        <w:r w:rsidR="00372614" w:rsidRPr="00F10586">
          <w:rPr>
            <w:rStyle w:val="af3"/>
            <w:noProof/>
          </w:rPr>
          <w:t>Observation 3</w:t>
        </w:r>
        <w:r w:rsidR="00372614">
          <w:rPr>
            <w:rFonts w:asciiTheme="minorHAnsi" w:eastAsiaTheme="minorEastAsia" w:hAnsiTheme="minorHAnsi" w:cstheme="minorBidi"/>
            <w:b w:val="0"/>
            <w:noProof/>
            <w:kern w:val="2"/>
            <w:sz w:val="21"/>
          </w:rPr>
          <w:tab/>
        </w:r>
        <w:r w:rsidR="00372614" w:rsidRPr="00F10586">
          <w:rPr>
            <w:rStyle w:val="af3"/>
            <w:noProof/>
          </w:rPr>
          <w:t>The prioritization of frequency in the measurement report can be achieved by different event trigger threshold configuration.</w:t>
        </w:r>
      </w:hyperlink>
    </w:p>
    <w:p w14:paraId="7D202DF1" w14:textId="7965146F" w:rsidR="00372614" w:rsidRDefault="000F056D">
      <w:pPr>
        <w:pStyle w:val="TOC1"/>
        <w:rPr>
          <w:rFonts w:asciiTheme="minorHAnsi" w:eastAsiaTheme="minorEastAsia" w:hAnsiTheme="minorHAnsi" w:cstheme="minorBidi"/>
          <w:b w:val="0"/>
          <w:noProof/>
          <w:kern w:val="2"/>
          <w:sz w:val="21"/>
        </w:rPr>
      </w:pPr>
      <w:hyperlink w:anchor="_Toc142562672" w:history="1">
        <w:r w:rsidR="00372614" w:rsidRPr="00F10586">
          <w:rPr>
            <w:rStyle w:val="af3"/>
            <w:noProof/>
          </w:rPr>
          <w:t>Observation 4</w:t>
        </w:r>
        <w:r w:rsidR="00372614">
          <w:rPr>
            <w:rFonts w:asciiTheme="minorHAnsi" w:eastAsiaTheme="minorEastAsia" w:hAnsiTheme="minorHAnsi" w:cstheme="minorBidi"/>
            <w:b w:val="0"/>
            <w:noProof/>
            <w:kern w:val="2"/>
            <w:sz w:val="21"/>
          </w:rPr>
          <w:tab/>
        </w:r>
        <w:r w:rsidR="00372614" w:rsidRPr="00F10586">
          <w:rPr>
            <w:rStyle w:val="af3"/>
            <w:noProof/>
          </w:rPr>
          <w:t>Currently, UE can include the available measurement result of serving cells in the measResultServingMOList which includes the RSRP, RSRQ and SINR of each serving cell.</w:t>
        </w:r>
      </w:hyperlink>
    </w:p>
    <w:p w14:paraId="0E69CBFC" w14:textId="13969FD2" w:rsidR="00B73F85" w:rsidRDefault="00B73F85">
      <w:r>
        <w:fldChar w:fldCharType="end"/>
      </w:r>
    </w:p>
    <w:p w14:paraId="7962C03C" w14:textId="055E9E97" w:rsidR="00FB3C9D" w:rsidRDefault="003D1DDD">
      <w:r>
        <w:t>We have the following proposals:</w:t>
      </w:r>
    </w:p>
    <w:p w14:paraId="04A5609E" w14:textId="77777777" w:rsidR="00942605" w:rsidRDefault="00942605"/>
    <w:p w14:paraId="16571B65" w14:textId="219EA9E2" w:rsidR="00D45734" w:rsidRDefault="00942605" w:rsidP="00D45734">
      <w:pPr>
        <w:pStyle w:val="TOC1"/>
        <w:rPr>
          <w:rFonts w:asciiTheme="minorHAnsi" w:eastAsiaTheme="minorEastAsia" w:hAnsiTheme="minorHAnsi" w:cstheme="minorBidi"/>
          <w:b w:val="0"/>
          <w:noProof/>
          <w:kern w:val="2"/>
          <w:sz w:val="21"/>
        </w:rPr>
      </w:pPr>
      <w:r>
        <w:fldChar w:fldCharType="begin"/>
      </w:r>
      <w:r>
        <w:instrText xml:space="preserve"> TOC \n \p " " \h \z \t "Proposal,1" </w:instrText>
      </w:r>
      <w:r>
        <w:fldChar w:fldCharType="separate"/>
      </w:r>
      <w:hyperlink w:anchor="_Toc142569458" w:history="1">
        <w:r w:rsidR="00D45734" w:rsidRPr="00C76183">
          <w:rPr>
            <w:rStyle w:val="af3"/>
            <w:noProof/>
          </w:rPr>
          <w:t>Proposal 1</w:t>
        </w:r>
        <w:r w:rsidR="00D45734">
          <w:rPr>
            <w:rFonts w:asciiTheme="minorHAnsi" w:eastAsiaTheme="minorEastAsia" w:hAnsiTheme="minorHAnsi" w:cstheme="minorBidi"/>
            <w:b w:val="0"/>
            <w:noProof/>
            <w:kern w:val="2"/>
            <w:sz w:val="21"/>
          </w:rPr>
          <w:tab/>
        </w:r>
        <w:r w:rsidR="00D45734" w:rsidRPr="00C76183">
          <w:rPr>
            <w:rStyle w:val="af3"/>
            <w:noProof/>
          </w:rPr>
          <w:t>For the issue on “latency from MO configuration to Measurement Report for the most interesting frequency(ies)”, RAN2 to discuss the following 2 Options:</w:t>
        </w:r>
      </w:hyperlink>
    </w:p>
    <w:p w14:paraId="26C2BD25" w14:textId="08522ABF" w:rsidR="00D45734" w:rsidRDefault="000F056D" w:rsidP="00D45734">
      <w:pPr>
        <w:pStyle w:val="TOC1"/>
        <w:ind w:firstLine="0"/>
        <w:rPr>
          <w:rFonts w:asciiTheme="minorHAnsi" w:eastAsiaTheme="minorEastAsia" w:hAnsiTheme="minorHAnsi" w:cstheme="minorBidi"/>
          <w:b w:val="0"/>
          <w:noProof/>
          <w:kern w:val="2"/>
          <w:sz w:val="21"/>
        </w:rPr>
      </w:pPr>
      <w:hyperlink w:anchor="_Toc142569459" w:history="1">
        <w:r w:rsidR="00D45734" w:rsidRPr="00C76183">
          <w:rPr>
            <w:rStyle w:val="af3"/>
            <w:noProof/>
          </w:rPr>
          <w:t>Option-1: to prioritize different frequencies by setting different event trigger threshold configurations.</w:t>
        </w:r>
      </w:hyperlink>
    </w:p>
    <w:p w14:paraId="17DF0AE9" w14:textId="222F7BFA" w:rsidR="00D45734" w:rsidRDefault="000F056D" w:rsidP="00D45734">
      <w:pPr>
        <w:pStyle w:val="TOC1"/>
        <w:ind w:firstLine="0"/>
        <w:rPr>
          <w:rFonts w:asciiTheme="minorHAnsi" w:eastAsiaTheme="minorEastAsia" w:hAnsiTheme="minorHAnsi" w:cstheme="minorBidi"/>
          <w:b w:val="0"/>
          <w:noProof/>
          <w:kern w:val="2"/>
          <w:sz w:val="21"/>
        </w:rPr>
      </w:pPr>
      <w:hyperlink w:anchor="_Toc142569460" w:history="1">
        <w:r w:rsidR="00D45734" w:rsidRPr="00C76183">
          <w:rPr>
            <w:rStyle w:val="af3"/>
            <w:noProof/>
          </w:rPr>
          <w:t>Option-2: add a new field in the measurement result to include the available measurement results of non-serving frequencies with configured MO.</w:t>
        </w:r>
      </w:hyperlink>
    </w:p>
    <w:p w14:paraId="6141EE9F" w14:textId="210DD44C" w:rsidR="00DB7CBF" w:rsidRPr="00F00FBA" w:rsidRDefault="00942605" w:rsidP="00D45734">
      <w:pPr>
        <w:ind w:left="1701"/>
      </w:pPr>
      <w:r>
        <w:rPr>
          <w:sz w:val="22"/>
          <w:lang w:val="en-US"/>
        </w:rPr>
        <w:fldChar w:fldCharType="end"/>
      </w:r>
      <w:bookmarkStart w:id="19" w:name="_In-sequence_SDU_delivery"/>
      <w:bookmarkEnd w:id="19"/>
    </w:p>
    <w:sectPr w:rsidR="00DB7CBF" w:rsidRPr="00F00FBA">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B7A59" w16cex:dateUtc="2023-08-07T06:12:00Z"/>
  <w16cex:commentExtensible w16cex:durableId="287CE345" w16cex:dateUtc="2023-08-08T07: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5FC90" w14:textId="77777777" w:rsidR="000F056D" w:rsidRDefault="000F056D">
      <w:pPr>
        <w:spacing w:after="0"/>
      </w:pPr>
      <w:r>
        <w:separator/>
      </w:r>
    </w:p>
  </w:endnote>
  <w:endnote w:type="continuationSeparator" w:id="0">
    <w:p w14:paraId="1D9B5EE0" w14:textId="77777777" w:rsidR="000F056D" w:rsidRDefault="000F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F70F50" w:rsidRDefault="00F70F50">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B5AA8" w14:textId="77777777" w:rsidR="000F056D" w:rsidRDefault="000F056D">
      <w:pPr>
        <w:spacing w:after="0"/>
      </w:pPr>
      <w:r>
        <w:separator/>
      </w:r>
    </w:p>
  </w:footnote>
  <w:footnote w:type="continuationSeparator" w:id="0">
    <w:p w14:paraId="2106783C" w14:textId="77777777" w:rsidR="000F056D" w:rsidRDefault="000F05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F2334"/>
    <w:multiLevelType w:val="hybridMultilevel"/>
    <w:tmpl w:val="8A52E39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075BC4"/>
    <w:multiLevelType w:val="hybridMultilevel"/>
    <w:tmpl w:val="824C1FA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FD28D1"/>
    <w:multiLevelType w:val="hybridMultilevel"/>
    <w:tmpl w:val="30A23134"/>
    <w:lvl w:ilvl="0" w:tplc="3C0605C4">
      <w:start w:val="1"/>
      <w:numFmt w:val="bullet"/>
      <w:lvlText w:val="-"/>
      <w:lvlJc w:val="left"/>
      <w:pPr>
        <w:ind w:left="478" w:hanging="420"/>
      </w:pPr>
      <w:rPr>
        <w:rFonts w:ascii="Calibri" w:eastAsia="宋体" w:hAnsi="Calibri" w:cs="Calibri"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924750"/>
    <w:multiLevelType w:val="hybridMultilevel"/>
    <w:tmpl w:val="500E7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E5F72"/>
    <w:multiLevelType w:val="hybridMultilevel"/>
    <w:tmpl w:val="D2B272C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E195D9F"/>
    <w:multiLevelType w:val="hybridMultilevel"/>
    <w:tmpl w:val="8D5C9ABE"/>
    <w:lvl w:ilvl="0" w:tplc="35FC5EA6">
      <w:start w:val="1"/>
      <w:numFmt w:val="decimal"/>
      <w:lvlText w:val="%1a."/>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03BD3"/>
    <w:multiLevelType w:val="hybridMultilevel"/>
    <w:tmpl w:val="B5CE13D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BF6E4F"/>
    <w:multiLevelType w:val="hybridMultilevel"/>
    <w:tmpl w:val="BABAF140"/>
    <w:lvl w:ilvl="0" w:tplc="B09E18D4">
      <w:start w:val="1"/>
      <w:numFmt w:val="decimal"/>
      <w:lvlText w:val="%1b."/>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9275C0"/>
    <w:multiLevelType w:val="hybridMultilevel"/>
    <w:tmpl w:val="557E372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5B68"/>
    <w:multiLevelType w:val="hybridMultilevel"/>
    <w:tmpl w:val="D52EF860"/>
    <w:lvl w:ilvl="0" w:tplc="95E6428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F17EEB"/>
    <w:multiLevelType w:val="hybridMultilevel"/>
    <w:tmpl w:val="81A4F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1410FE"/>
    <w:multiLevelType w:val="hybridMultilevel"/>
    <w:tmpl w:val="4AD43124"/>
    <w:lvl w:ilvl="0" w:tplc="EFFC59A4">
      <w:start w:val="1"/>
      <w:numFmt w:val="bullet"/>
      <w:lvlText w:val="-"/>
      <w:lvlJc w:val="left"/>
      <w:pPr>
        <w:ind w:left="2121" w:hanging="420"/>
      </w:pPr>
      <w:rPr>
        <w:rFonts w:ascii="Times" w:eastAsia="Malgun Gothic" w:hAnsi="Times" w:cs="Time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1" w15:restartNumberingAfterBreak="0">
    <w:nsid w:val="41551DFF"/>
    <w:multiLevelType w:val="hybridMultilevel"/>
    <w:tmpl w:val="E36E843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B91ADC"/>
    <w:multiLevelType w:val="hybridMultilevel"/>
    <w:tmpl w:val="5D3C1AC0"/>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B81182"/>
    <w:multiLevelType w:val="hybridMultilevel"/>
    <w:tmpl w:val="ABB02EAA"/>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27ED"/>
    <w:multiLevelType w:val="hybridMultilevel"/>
    <w:tmpl w:val="E4869D50"/>
    <w:lvl w:ilvl="0" w:tplc="5BE82F6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2E6675"/>
    <w:multiLevelType w:val="hybridMultilevel"/>
    <w:tmpl w:val="B2CE1642"/>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9213C24"/>
    <w:multiLevelType w:val="hybridMultilevel"/>
    <w:tmpl w:val="E31893E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A281A"/>
    <w:multiLevelType w:val="hybridMultilevel"/>
    <w:tmpl w:val="538C899C"/>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4D4898"/>
    <w:multiLevelType w:val="hybridMultilevel"/>
    <w:tmpl w:val="6F941B9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EE2626"/>
    <w:multiLevelType w:val="hybridMultilevel"/>
    <w:tmpl w:val="1422D8C4"/>
    <w:lvl w:ilvl="0" w:tplc="1258FE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9"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E8A7BA0"/>
    <w:multiLevelType w:val="hybridMultilevel"/>
    <w:tmpl w:val="F8E87C5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527FD9"/>
    <w:multiLevelType w:val="hybridMultilevel"/>
    <w:tmpl w:val="D9ECE2B6"/>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60533D"/>
    <w:multiLevelType w:val="hybridMultilevel"/>
    <w:tmpl w:val="4AF87E84"/>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22"/>
  </w:num>
  <w:num w:numId="3">
    <w:abstractNumId w:val="40"/>
  </w:num>
  <w:num w:numId="4">
    <w:abstractNumId w:val="9"/>
  </w:num>
  <w:num w:numId="5">
    <w:abstractNumId w:val="34"/>
  </w:num>
  <w:num w:numId="6">
    <w:abstractNumId w:val="14"/>
  </w:num>
  <w:num w:numId="7">
    <w:abstractNumId w:val="10"/>
  </w:num>
  <w:num w:numId="8">
    <w:abstractNumId w:val="33"/>
  </w:num>
  <w:num w:numId="9">
    <w:abstractNumId w:val="37"/>
  </w:num>
  <w:num w:numId="10">
    <w:abstractNumId w:val="31"/>
  </w:num>
  <w:num w:numId="11">
    <w:abstractNumId w:val="16"/>
  </w:num>
  <w:num w:numId="12">
    <w:abstractNumId w:val="6"/>
  </w:num>
  <w:num w:numId="13">
    <w:abstractNumId w:val="15"/>
  </w:num>
  <w:num w:numId="14">
    <w:abstractNumId w:val="38"/>
  </w:num>
  <w:num w:numId="15">
    <w:abstractNumId w:val="3"/>
  </w:num>
  <w:num w:numId="16">
    <w:abstractNumId w:val="36"/>
  </w:num>
  <w:num w:numId="17">
    <w:abstractNumId w:val="23"/>
  </w:num>
  <w:num w:numId="18">
    <w:abstractNumId w:val="26"/>
  </w:num>
  <w:num w:numId="19">
    <w:abstractNumId w:val="39"/>
  </w:num>
  <w:num w:numId="20">
    <w:abstractNumId w:val="5"/>
  </w:num>
  <w:num w:numId="21">
    <w:abstractNumId w:val="29"/>
  </w:num>
  <w:num w:numId="22">
    <w:abstractNumId w:val="25"/>
  </w:num>
  <w:num w:numId="23">
    <w:abstractNumId w:val="11"/>
  </w:num>
  <w:num w:numId="24">
    <w:abstractNumId w:val="13"/>
  </w:num>
  <w:num w:numId="25">
    <w:abstractNumId w:val="32"/>
  </w:num>
  <w:num w:numId="26">
    <w:abstractNumId w:val="41"/>
  </w:num>
  <w:num w:numId="27">
    <w:abstractNumId w:val="43"/>
  </w:num>
  <w:num w:numId="28">
    <w:abstractNumId w:val="2"/>
  </w:num>
  <w:num w:numId="29">
    <w:abstractNumId w:val="28"/>
  </w:num>
  <w:num w:numId="30">
    <w:abstractNumId w:val="27"/>
  </w:num>
  <w:num w:numId="31">
    <w:abstractNumId w:val="12"/>
  </w:num>
  <w:num w:numId="32">
    <w:abstractNumId w:val="7"/>
  </w:num>
  <w:num w:numId="33">
    <w:abstractNumId w:val="0"/>
  </w:num>
  <w:num w:numId="34">
    <w:abstractNumId w:val="35"/>
  </w:num>
  <w:num w:numId="35">
    <w:abstractNumId w:val="30"/>
  </w:num>
  <w:num w:numId="36">
    <w:abstractNumId w:val="17"/>
  </w:num>
  <w:num w:numId="37">
    <w:abstractNumId w:val="8"/>
  </w:num>
  <w:num w:numId="38">
    <w:abstractNumId w:val="1"/>
  </w:num>
  <w:num w:numId="39">
    <w:abstractNumId w:val="20"/>
  </w:num>
  <w:num w:numId="40">
    <w:abstractNumId w:val="21"/>
  </w:num>
  <w:num w:numId="41">
    <w:abstractNumId w:val="42"/>
  </w:num>
  <w:num w:numId="42">
    <w:abstractNumId w:val="4"/>
  </w:num>
  <w:num w:numId="43">
    <w:abstractNumId w:val="19"/>
  </w:num>
  <w:num w:numId="44">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Na0FAI7CB4UtAAAA"/>
  </w:docVars>
  <w:rsids>
    <w:rsidRoot w:val="00FB3C9D"/>
    <w:rsid w:val="0000483C"/>
    <w:rsid w:val="000122B1"/>
    <w:rsid w:val="00015DBC"/>
    <w:rsid w:val="00017121"/>
    <w:rsid w:val="00023308"/>
    <w:rsid w:val="00025DF1"/>
    <w:rsid w:val="000267B2"/>
    <w:rsid w:val="000301BE"/>
    <w:rsid w:val="00034B3C"/>
    <w:rsid w:val="00041594"/>
    <w:rsid w:val="00044D3C"/>
    <w:rsid w:val="00046CFA"/>
    <w:rsid w:val="00056FA0"/>
    <w:rsid w:val="000571A8"/>
    <w:rsid w:val="00057B8E"/>
    <w:rsid w:val="00064493"/>
    <w:rsid w:val="00070353"/>
    <w:rsid w:val="00074B10"/>
    <w:rsid w:val="0007764C"/>
    <w:rsid w:val="00080B2E"/>
    <w:rsid w:val="000818F4"/>
    <w:rsid w:val="00082BAD"/>
    <w:rsid w:val="00095EDC"/>
    <w:rsid w:val="00097B99"/>
    <w:rsid w:val="000A045B"/>
    <w:rsid w:val="000A1C5D"/>
    <w:rsid w:val="000A221D"/>
    <w:rsid w:val="000A3C2F"/>
    <w:rsid w:val="000B162C"/>
    <w:rsid w:val="000B2A4F"/>
    <w:rsid w:val="000B5469"/>
    <w:rsid w:val="000B7832"/>
    <w:rsid w:val="000B79DB"/>
    <w:rsid w:val="000B7A5D"/>
    <w:rsid w:val="000C0F85"/>
    <w:rsid w:val="000C1310"/>
    <w:rsid w:val="000C5F3C"/>
    <w:rsid w:val="000E03C4"/>
    <w:rsid w:val="000F056D"/>
    <w:rsid w:val="000F0DE1"/>
    <w:rsid w:val="000F2E9B"/>
    <w:rsid w:val="000F5134"/>
    <w:rsid w:val="000F5DA6"/>
    <w:rsid w:val="000F7D77"/>
    <w:rsid w:val="00100727"/>
    <w:rsid w:val="00107715"/>
    <w:rsid w:val="00111FD9"/>
    <w:rsid w:val="00120D0C"/>
    <w:rsid w:val="001222C2"/>
    <w:rsid w:val="00123DA6"/>
    <w:rsid w:val="00124C77"/>
    <w:rsid w:val="00125123"/>
    <w:rsid w:val="00133F0B"/>
    <w:rsid w:val="001343B0"/>
    <w:rsid w:val="001349BC"/>
    <w:rsid w:val="00136D1F"/>
    <w:rsid w:val="001446E7"/>
    <w:rsid w:val="00146D5C"/>
    <w:rsid w:val="00146E5B"/>
    <w:rsid w:val="00150AF6"/>
    <w:rsid w:val="00154CDE"/>
    <w:rsid w:val="00155445"/>
    <w:rsid w:val="00160B0D"/>
    <w:rsid w:val="001632EC"/>
    <w:rsid w:val="001663CB"/>
    <w:rsid w:val="0016729F"/>
    <w:rsid w:val="001749E7"/>
    <w:rsid w:val="00180DEC"/>
    <w:rsid w:val="00185E1A"/>
    <w:rsid w:val="001A1619"/>
    <w:rsid w:val="001A4B2D"/>
    <w:rsid w:val="001A50CB"/>
    <w:rsid w:val="001B3D23"/>
    <w:rsid w:val="001B490B"/>
    <w:rsid w:val="001B64DA"/>
    <w:rsid w:val="001B7D1B"/>
    <w:rsid w:val="001C1A4E"/>
    <w:rsid w:val="001D10E1"/>
    <w:rsid w:val="001D3066"/>
    <w:rsid w:val="001D32BD"/>
    <w:rsid w:val="001D4078"/>
    <w:rsid w:val="001D7CF5"/>
    <w:rsid w:val="001E2735"/>
    <w:rsid w:val="001F02BF"/>
    <w:rsid w:val="001F19C2"/>
    <w:rsid w:val="001F3D00"/>
    <w:rsid w:val="001F6736"/>
    <w:rsid w:val="002034C4"/>
    <w:rsid w:val="002042C1"/>
    <w:rsid w:val="00206961"/>
    <w:rsid w:val="002070B3"/>
    <w:rsid w:val="00210583"/>
    <w:rsid w:val="002110D8"/>
    <w:rsid w:val="00212650"/>
    <w:rsid w:val="0021582F"/>
    <w:rsid w:val="0022064D"/>
    <w:rsid w:val="002226D1"/>
    <w:rsid w:val="00222A1B"/>
    <w:rsid w:val="0022565E"/>
    <w:rsid w:val="0023140C"/>
    <w:rsid w:val="00231ED6"/>
    <w:rsid w:val="002322A7"/>
    <w:rsid w:val="002373E8"/>
    <w:rsid w:val="00252513"/>
    <w:rsid w:val="00252E5E"/>
    <w:rsid w:val="00256507"/>
    <w:rsid w:val="00257DD1"/>
    <w:rsid w:val="00261173"/>
    <w:rsid w:val="002635CD"/>
    <w:rsid w:val="00263A72"/>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F1"/>
    <w:rsid w:val="00295A4D"/>
    <w:rsid w:val="00297F4E"/>
    <w:rsid w:val="002A06C1"/>
    <w:rsid w:val="002A070D"/>
    <w:rsid w:val="002A2EC4"/>
    <w:rsid w:val="002A71DE"/>
    <w:rsid w:val="002A7B3F"/>
    <w:rsid w:val="002B1C46"/>
    <w:rsid w:val="002C043C"/>
    <w:rsid w:val="002C278D"/>
    <w:rsid w:val="002C6CD3"/>
    <w:rsid w:val="002C7238"/>
    <w:rsid w:val="002C7AE9"/>
    <w:rsid w:val="002D02B9"/>
    <w:rsid w:val="002D0DFA"/>
    <w:rsid w:val="002E06D5"/>
    <w:rsid w:val="002E635A"/>
    <w:rsid w:val="002E6468"/>
    <w:rsid w:val="002E6820"/>
    <w:rsid w:val="002F6B1B"/>
    <w:rsid w:val="00306EDF"/>
    <w:rsid w:val="003134B3"/>
    <w:rsid w:val="003200FE"/>
    <w:rsid w:val="00320928"/>
    <w:rsid w:val="00325BFC"/>
    <w:rsid w:val="00326F53"/>
    <w:rsid w:val="00333F69"/>
    <w:rsid w:val="00336AE4"/>
    <w:rsid w:val="0034168D"/>
    <w:rsid w:val="00341C8A"/>
    <w:rsid w:val="00343E39"/>
    <w:rsid w:val="0035075D"/>
    <w:rsid w:val="00350F10"/>
    <w:rsid w:val="003631C4"/>
    <w:rsid w:val="00366D26"/>
    <w:rsid w:val="00367F1E"/>
    <w:rsid w:val="00372614"/>
    <w:rsid w:val="00377B68"/>
    <w:rsid w:val="003853AA"/>
    <w:rsid w:val="00386A14"/>
    <w:rsid w:val="00391515"/>
    <w:rsid w:val="00396679"/>
    <w:rsid w:val="003A5CDA"/>
    <w:rsid w:val="003A653D"/>
    <w:rsid w:val="003B1B8C"/>
    <w:rsid w:val="003B2B37"/>
    <w:rsid w:val="003B3C0F"/>
    <w:rsid w:val="003C2081"/>
    <w:rsid w:val="003C43B0"/>
    <w:rsid w:val="003C4E76"/>
    <w:rsid w:val="003C7EBD"/>
    <w:rsid w:val="003D1DDD"/>
    <w:rsid w:val="003D48D5"/>
    <w:rsid w:val="003D4ED7"/>
    <w:rsid w:val="003E0E2F"/>
    <w:rsid w:val="003E3AFA"/>
    <w:rsid w:val="003E6F62"/>
    <w:rsid w:val="003E7DB4"/>
    <w:rsid w:val="003F5EC0"/>
    <w:rsid w:val="00400D84"/>
    <w:rsid w:val="00405549"/>
    <w:rsid w:val="0041279E"/>
    <w:rsid w:val="00413C87"/>
    <w:rsid w:val="00416E1A"/>
    <w:rsid w:val="00420328"/>
    <w:rsid w:val="00423FE3"/>
    <w:rsid w:val="004258D9"/>
    <w:rsid w:val="004313CD"/>
    <w:rsid w:val="00431991"/>
    <w:rsid w:val="00431B4B"/>
    <w:rsid w:val="0043359C"/>
    <w:rsid w:val="0043433F"/>
    <w:rsid w:val="00440C74"/>
    <w:rsid w:val="004559F4"/>
    <w:rsid w:val="00456A8D"/>
    <w:rsid w:val="00456DAE"/>
    <w:rsid w:val="00466280"/>
    <w:rsid w:val="00475A34"/>
    <w:rsid w:val="00476F75"/>
    <w:rsid w:val="004777AF"/>
    <w:rsid w:val="00492005"/>
    <w:rsid w:val="0049681A"/>
    <w:rsid w:val="004A09B4"/>
    <w:rsid w:val="004A2923"/>
    <w:rsid w:val="004A6682"/>
    <w:rsid w:val="004A6E6D"/>
    <w:rsid w:val="004B06A6"/>
    <w:rsid w:val="004B37F6"/>
    <w:rsid w:val="004B4F9E"/>
    <w:rsid w:val="004C0DF1"/>
    <w:rsid w:val="004C4B19"/>
    <w:rsid w:val="004C4DAE"/>
    <w:rsid w:val="004D0C69"/>
    <w:rsid w:val="004D1103"/>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11837"/>
    <w:rsid w:val="00514254"/>
    <w:rsid w:val="00515C33"/>
    <w:rsid w:val="00524EDC"/>
    <w:rsid w:val="0052516B"/>
    <w:rsid w:val="005309DA"/>
    <w:rsid w:val="005316CE"/>
    <w:rsid w:val="0053332F"/>
    <w:rsid w:val="005365BA"/>
    <w:rsid w:val="00536BFB"/>
    <w:rsid w:val="005409A9"/>
    <w:rsid w:val="005410C9"/>
    <w:rsid w:val="00542290"/>
    <w:rsid w:val="00543D2C"/>
    <w:rsid w:val="005442E9"/>
    <w:rsid w:val="0054630B"/>
    <w:rsid w:val="00550F08"/>
    <w:rsid w:val="005524FB"/>
    <w:rsid w:val="00553863"/>
    <w:rsid w:val="005561C4"/>
    <w:rsid w:val="00561466"/>
    <w:rsid w:val="0056179B"/>
    <w:rsid w:val="00563423"/>
    <w:rsid w:val="00564D32"/>
    <w:rsid w:val="00565DE3"/>
    <w:rsid w:val="005708E0"/>
    <w:rsid w:val="00583B1A"/>
    <w:rsid w:val="00586D83"/>
    <w:rsid w:val="00591E0D"/>
    <w:rsid w:val="00594941"/>
    <w:rsid w:val="005965A9"/>
    <w:rsid w:val="005A2610"/>
    <w:rsid w:val="005A6ED1"/>
    <w:rsid w:val="005B1709"/>
    <w:rsid w:val="005B2601"/>
    <w:rsid w:val="005B4502"/>
    <w:rsid w:val="005C03F6"/>
    <w:rsid w:val="005C18B5"/>
    <w:rsid w:val="005C5080"/>
    <w:rsid w:val="005C5CDB"/>
    <w:rsid w:val="005D0F4E"/>
    <w:rsid w:val="005D195F"/>
    <w:rsid w:val="005D1D74"/>
    <w:rsid w:val="005D2E6B"/>
    <w:rsid w:val="005E13BD"/>
    <w:rsid w:val="005E2099"/>
    <w:rsid w:val="005E28E5"/>
    <w:rsid w:val="005E52A0"/>
    <w:rsid w:val="005E7F5A"/>
    <w:rsid w:val="005F4477"/>
    <w:rsid w:val="006002A0"/>
    <w:rsid w:val="006012E1"/>
    <w:rsid w:val="006035FB"/>
    <w:rsid w:val="0060457F"/>
    <w:rsid w:val="0060761A"/>
    <w:rsid w:val="00610954"/>
    <w:rsid w:val="0061237A"/>
    <w:rsid w:val="006123FE"/>
    <w:rsid w:val="00613669"/>
    <w:rsid w:val="00614C44"/>
    <w:rsid w:val="00621611"/>
    <w:rsid w:val="00621BC8"/>
    <w:rsid w:val="00627A80"/>
    <w:rsid w:val="0064251C"/>
    <w:rsid w:val="00650929"/>
    <w:rsid w:val="00662067"/>
    <w:rsid w:val="0066350F"/>
    <w:rsid w:val="006649F6"/>
    <w:rsid w:val="00666863"/>
    <w:rsid w:val="0067196C"/>
    <w:rsid w:val="006814F5"/>
    <w:rsid w:val="00685769"/>
    <w:rsid w:val="006906CF"/>
    <w:rsid w:val="00694C89"/>
    <w:rsid w:val="006956EF"/>
    <w:rsid w:val="006A085B"/>
    <w:rsid w:val="006A1376"/>
    <w:rsid w:val="006A2066"/>
    <w:rsid w:val="006A781E"/>
    <w:rsid w:val="006B25AE"/>
    <w:rsid w:val="006B2D0C"/>
    <w:rsid w:val="006B74A7"/>
    <w:rsid w:val="006C3DAC"/>
    <w:rsid w:val="006C648D"/>
    <w:rsid w:val="006C7A4C"/>
    <w:rsid w:val="006C7EE5"/>
    <w:rsid w:val="006D02B7"/>
    <w:rsid w:val="006D3250"/>
    <w:rsid w:val="006E09BE"/>
    <w:rsid w:val="006E1180"/>
    <w:rsid w:val="006E4398"/>
    <w:rsid w:val="006E66CE"/>
    <w:rsid w:val="006E68A4"/>
    <w:rsid w:val="006E7824"/>
    <w:rsid w:val="006F0C7A"/>
    <w:rsid w:val="006F0E06"/>
    <w:rsid w:val="006F4E7D"/>
    <w:rsid w:val="007072EF"/>
    <w:rsid w:val="007109CB"/>
    <w:rsid w:val="0071115C"/>
    <w:rsid w:val="00711CCE"/>
    <w:rsid w:val="00713D68"/>
    <w:rsid w:val="007148EA"/>
    <w:rsid w:val="00717DBE"/>
    <w:rsid w:val="0072006E"/>
    <w:rsid w:val="0072147B"/>
    <w:rsid w:val="007261FA"/>
    <w:rsid w:val="00732F98"/>
    <w:rsid w:val="007345B3"/>
    <w:rsid w:val="00734C07"/>
    <w:rsid w:val="007353ED"/>
    <w:rsid w:val="00736219"/>
    <w:rsid w:val="00741CE7"/>
    <w:rsid w:val="00744A23"/>
    <w:rsid w:val="00753C4A"/>
    <w:rsid w:val="00755E88"/>
    <w:rsid w:val="00756022"/>
    <w:rsid w:val="00757C60"/>
    <w:rsid w:val="007613FE"/>
    <w:rsid w:val="0076783C"/>
    <w:rsid w:val="00770949"/>
    <w:rsid w:val="00776EBD"/>
    <w:rsid w:val="00777103"/>
    <w:rsid w:val="00782049"/>
    <w:rsid w:val="00783C43"/>
    <w:rsid w:val="00790DC9"/>
    <w:rsid w:val="0079114E"/>
    <w:rsid w:val="00795873"/>
    <w:rsid w:val="007A18DC"/>
    <w:rsid w:val="007A4AE4"/>
    <w:rsid w:val="007A7A53"/>
    <w:rsid w:val="007B4BCA"/>
    <w:rsid w:val="007C31C1"/>
    <w:rsid w:val="007C664E"/>
    <w:rsid w:val="007D4DBC"/>
    <w:rsid w:val="007E0864"/>
    <w:rsid w:val="007E3852"/>
    <w:rsid w:val="007F1CAD"/>
    <w:rsid w:val="007F31BA"/>
    <w:rsid w:val="007F33EE"/>
    <w:rsid w:val="007F435B"/>
    <w:rsid w:val="007F5E39"/>
    <w:rsid w:val="00804B8C"/>
    <w:rsid w:val="00805B80"/>
    <w:rsid w:val="008062BF"/>
    <w:rsid w:val="008076AF"/>
    <w:rsid w:val="00807A20"/>
    <w:rsid w:val="008109E6"/>
    <w:rsid w:val="00816955"/>
    <w:rsid w:val="008214FB"/>
    <w:rsid w:val="00822734"/>
    <w:rsid w:val="00825AAE"/>
    <w:rsid w:val="00832453"/>
    <w:rsid w:val="00842380"/>
    <w:rsid w:val="00844947"/>
    <w:rsid w:val="00850394"/>
    <w:rsid w:val="00850AE3"/>
    <w:rsid w:val="0085273A"/>
    <w:rsid w:val="00853030"/>
    <w:rsid w:val="00853A34"/>
    <w:rsid w:val="00853D38"/>
    <w:rsid w:val="00854DEF"/>
    <w:rsid w:val="00861EA8"/>
    <w:rsid w:val="00862119"/>
    <w:rsid w:val="00862614"/>
    <w:rsid w:val="00871192"/>
    <w:rsid w:val="00872F70"/>
    <w:rsid w:val="008741EB"/>
    <w:rsid w:val="00874F84"/>
    <w:rsid w:val="008752D6"/>
    <w:rsid w:val="00877843"/>
    <w:rsid w:val="00890733"/>
    <w:rsid w:val="00893068"/>
    <w:rsid w:val="0089383F"/>
    <w:rsid w:val="00895D68"/>
    <w:rsid w:val="008A250A"/>
    <w:rsid w:val="008B0293"/>
    <w:rsid w:val="008B4EFF"/>
    <w:rsid w:val="008C3ECC"/>
    <w:rsid w:val="008C5F79"/>
    <w:rsid w:val="008D19DC"/>
    <w:rsid w:val="008E399F"/>
    <w:rsid w:val="008E3B9F"/>
    <w:rsid w:val="008E672B"/>
    <w:rsid w:val="008F30D8"/>
    <w:rsid w:val="008F4560"/>
    <w:rsid w:val="009009EF"/>
    <w:rsid w:val="009010BE"/>
    <w:rsid w:val="00901733"/>
    <w:rsid w:val="00923B9E"/>
    <w:rsid w:val="009249BA"/>
    <w:rsid w:val="00927905"/>
    <w:rsid w:val="00930A3A"/>
    <w:rsid w:val="0093190B"/>
    <w:rsid w:val="00935BC9"/>
    <w:rsid w:val="009415CC"/>
    <w:rsid w:val="00942605"/>
    <w:rsid w:val="00942A0A"/>
    <w:rsid w:val="009430D2"/>
    <w:rsid w:val="00950EBF"/>
    <w:rsid w:val="009554F2"/>
    <w:rsid w:val="0096173F"/>
    <w:rsid w:val="009623F7"/>
    <w:rsid w:val="00974533"/>
    <w:rsid w:val="00975DDB"/>
    <w:rsid w:val="00977343"/>
    <w:rsid w:val="00980199"/>
    <w:rsid w:val="00982391"/>
    <w:rsid w:val="00991654"/>
    <w:rsid w:val="009944BB"/>
    <w:rsid w:val="00994C05"/>
    <w:rsid w:val="009977FE"/>
    <w:rsid w:val="00997816"/>
    <w:rsid w:val="009A1E29"/>
    <w:rsid w:val="009A2478"/>
    <w:rsid w:val="009B0850"/>
    <w:rsid w:val="009B1A4B"/>
    <w:rsid w:val="009B1F37"/>
    <w:rsid w:val="009B2993"/>
    <w:rsid w:val="009B4A92"/>
    <w:rsid w:val="009B4BDA"/>
    <w:rsid w:val="009B7064"/>
    <w:rsid w:val="009C18CE"/>
    <w:rsid w:val="009C1F08"/>
    <w:rsid w:val="009C2919"/>
    <w:rsid w:val="009C5418"/>
    <w:rsid w:val="009C6F85"/>
    <w:rsid w:val="009C7BC2"/>
    <w:rsid w:val="009E1269"/>
    <w:rsid w:val="009E1DE7"/>
    <w:rsid w:val="009E301C"/>
    <w:rsid w:val="009E4DC2"/>
    <w:rsid w:val="009E591F"/>
    <w:rsid w:val="009E743C"/>
    <w:rsid w:val="009F4CA9"/>
    <w:rsid w:val="00A02F4E"/>
    <w:rsid w:val="00A036F8"/>
    <w:rsid w:val="00A04D0B"/>
    <w:rsid w:val="00A058BE"/>
    <w:rsid w:val="00A1181E"/>
    <w:rsid w:val="00A1493D"/>
    <w:rsid w:val="00A15127"/>
    <w:rsid w:val="00A22CE3"/>
    <w:rsid w:val="00A2537F"/>
    <w:rsid w:val="00A25F07"/>
    <w:rsid w:val="00A30851"/>
    <w:rsid w:val="00A319DC"/>
    <w:rsid w:val="00A32EBD"/>
    <w:rsid w:val="00A372B0"/>
    <w:rsid w:val="00A42A91"/>
    <w:rsid w:val="00A50800"/>
    <w:rsid w:val="00A519A0"/>
    <w:rsid w:val="00A60753"/>
    <w:rsid w:val="00A61294"/>
    <w:rsid w:val="00A62D4C"/>
    <w:rsid w:val="00A664BB"/>
    <w:rsid w:val="00A67BBA"/>
    <w:rsid w:val="00A71C97"/>
    <w:rsid w:val="00A7379D"/>
    <w:rsid w:val="00A772CB"/>
    <w:rsid w:val="00A8226D"/>
    <w:rsid w:val="00A82F2D"/>
    <w:rsid w:val="00A84EC4"/>
    <w:rsid w:val="00A9392B"/>
    <w:rsid w:val="00A95C7B"/>
    <w:rsid w:val="00AA0D32"/>
    <w:rsid w:val="00AA2B95"/>
    <w:rsid w:val="00AA3A8F"/>
    <w:rsid w:val="00AA5A38"/>
    <w:rsid w:val="00AB46B3"/>
    <w:rsid w:val="00AE0464"/>
    <w:rsid w:val="00AE12E0"/>
    <w:rsid w:val="00AE1A6B"/>
    <w:rsid w:val="00AF074B"/>
    <w:rsid w:val="00B01E46"/>
    <w:rsid w:val="00B024A0"/>
    <w:rsid w:val="00B0277F"/>
    <w:rsid w:val="00B03764"/>
    <w:rsid w:val="00B048AB"/>
    <w:rsid w:val="00B1713C"/>
    <w:rsid w:val="00B27DCB"/>
    <w:rsid w:val="00B31378"/>
    <w:rsid w:val="00B31F80"/>
    <w:rsid w:val="00B33466"/>
    <w:rsid w:val="00B41AA2"/>
    <w:rsid w:val="00B45717"/>
    <w:rsid w:val="00B5300E"/>
    <w:rsid w:val="00B57277"/>
    <w:rsid w:val="00B614F8"/>
    <w:rsid w:val="00B6240E"/>
    <w:rsid w:val="00B64556"/>
    <w:rsid w:val="00B6633C"/>
    <w:rsid w:val="00B670D2"/>
    <w:rsid w:val="00B73F85"/>
    <w:rsid w:val="00B7651E"/>
    <w:rsid w:val="00B828F4"/>
    <w:rsid w:val="00B83A06"/>
    <w:rsid w:val="00B87F2D"/>
    <w:rsid w:val="00B925BD"/>
    <w:rsid w:val="00B95493"/>
    <w:rsid w:val="00BA5ABB"/>
    <w:rsid w:val="00BB5B37"/>
    <w:rsid w:val="00BC3A24"/>
    <w:rsid w:val="00BC5C86"/>
    <w:rsid w:val="00BD2C36"/>
    <w:rsid w:val="00BD30CB"/>
    <w:rsid w:val="00BD352C"/>
    <w:rsid w:val="00BD580A"/>
    <w:rsid w:val="00BE51F5"/>
    <w:rsid w:val="00BF0E77"/>
    <w:rsid w:val="00BF2F4F"/>
    <w:rsid w:val="00BF4716"/>
    <w:rsid w:val="00BF550E"/>
    <w:rsid w:val="00C002A0"/>
    <w:rsid w:val="00C10992"/>
    <w:rsid w:val="00C1273E"/>
    <w:rsid w:val="00C16B81"/>
    <w:rsid w:val="00C177B3"/>
    <w:rsid w:val="00C21CF7"/>
    <w:rsid w:val="00C2748D"/>
    <w:rsid w:val="00C3021B"/>
    <w:rsid w:val="00C3532F"/>
    <w:rsid w:val="00C42E4B"/>
    <w:rsid w:val="00C47194"/>
    <w:rsid w:val="00C511E1"/>
    <w:rsid w:val="00C5328B"/>
    <w:rsid w:val="00C563C0"/>
    <w:rsid w:val="00C57FAA"/>
    <w:rsid w:val="00C61347"/>
    <w:rsid w:val="00C61B5B"/>
    <w:rsid w:val="00C65720"/>
    <w:rsid w:val="00C66555"/>
    <w:rsid w:val="00C70D15"/>
    <w:rsid w:val="00C723FD"/>
    <w:rsid w:val="00C74DCD"/>
    <w:rsid w:val="00C77A55"/>
    <w:rsid w:val="00C9039F"/>
    <w:rsid w:val="00C92B28"/>
    <w:rsid w:val="00C9559E"/>
    <w:rsid w:val="00C97061"/>
    <w:rsid w:val="00CA520C"/>
    <w:rsid w:val="00CA590C"/>
    <w:rsid w:val="00CA7E46"/>
    <w:rsid w:val="00CB2486"/>
    <w:rsid w:val="00CB35D2"/>
    <w:rsid w:val="00CB4938"/>
    <w:rsid w:val="00CB61EC"/>
    <w:rsid w:val="00CB6AF8"/>
    <w:rsid w:val="00CC1D47"/>
    <w:rsid w:val="00CC3C48"/>
    <w:rsid w:val="00CC74E0"/>
    <w:rsid w:val="00CD080A"/>
    <w:rsid w:val="00CD0D94"/>
    <w:rsid w:val="00CD7D70"/>
    <w:rsid w:val="00CE1571"/>
    <w:rsid w:val="00CE5297"/>
    <w:rsid w:val="00CF5F41"/>
    <w:rsid w:val="00D02A99"/>
    <w:rsid w:val="00D051D6"/>
    <w:rsid w:val="00D15303"/>
    <w:rsid w:val="00D23124"/>
    <w:rsid w:val="00D236C5"/>
    <w:rsid w:val="00D3043C"/>
    <w:rsid w:val="00D355FB"/>
    <w:rsid w:val="00D37670"/>
    <w:rsid w:val="00D4029F"/>
    <w:rsid w:val="00D40B66"/>
    <w:rsid w:val="00D42CE4"/>
    <w:rsid w:val="00D43664"/>
    <w:rsid w:val="00D45734"/>
    <w:rsid w:val="00D5177C"/>
    <w:rsid w:val="00D56716"/>
    <w:rsid w:val="00D62266"/>
    <w:rsid w:val="00D64249"/>
    <w:rsid w:val="00D845F0"/>
    <w:rsid w:val="00D86EEF"/>
    <w:rsid w:val="00D92A8D"/>
    <w:rsid w:val="00D92D29"/>
    <w:rsid w:val="00D95A7A"/>
    <w:rsid w:val="00D95C80"/>
    <w:rsid w:val="00DA36F1"/>
    <w:rsid w:val="00DA3C49"/>
    <w:rsid w:val="00DB4759"/>
    <w:rsid w:val="00DB6DB4"/>
    <w:rsid w:val="00DB76C8"/>
    <w:rsid w:val="00DB7CBF"/>
    <w:rsid w:val="00DC0FD7"/>
    <w:rsid w:val="00DC331F"/>
    <w:rsid w:val="00DD12B4"/>
    <w:rsid w:val="00DD3D50"/>
    <w:rsid w:val="00DD559A"/>
    <w:rsid w:val="00DD60EB"/>
    <w:rsid w:val="00DE1C3F"/>
    <w:rsid w:val="00DF0011"/>
    <w:rsid w:val="00DF0C31"/>
    <w:rsid w:val="00DF4009"/>
    <w:rsid w:val="00DF4123"/>
    <w:rsid w:val="00DF5933"/>
    <w:rsid w:val="00E03EE2"/>
    <w:rsid w:val="00E12C13"/>
    <w:rsid w:val="00E135BA"/>
    <w:rsid w:val="00E15259"/>
    <w:rsid w:val="00E15CA3"/>
    <w:rsid w:val="00E162DC"/>
    <w:rsid w:val="00E17AA9"/>
    <w:rsid w:val="00E17BBE"/>
    <w:rsid w:val="00E20A8D"/>
    <w:rsid w:val="00E23AC1"/>
    <w:rsid w:val="00E31389"/>
    <w:rsid w:val="00E31D0E"/>
    <w:rsid w:val="00E331A8"/>
    <w:rsid w:val="00E35BAD"/>
    <w:rsid w:val="00E40C63"/>
    <w:rsid w:val="00E41451"/>
    <w:rsid w:val="00E45380"/>
    <w:rsid w:val="00E54656"/>
    <w:rsid w:val="00E549EE"/>
    <w:rsid w:val="00E56A1B"/>
    <w:rsid w:val="00E57EDE"/>
    <w:rsid w:val="00E747E6"/>
    <w:rsid w:val="00E75D46"/>
    <w:rsid w:val="00E82432"/>
    <w:rsid w:val="00E85E11"/>
    <w:rsid w:val="00E900AF"/>
    <w:rsid w:val="00E90A23"/>
    <w:rsid w:val="00EA0E8D"/>
    <w:rsid w:val="00EA1E8C"/>
    <w:rsid w:val="00EA4B14"/>
    <w:rsid w:val="00EA5E6C"/>
    <w:rsid w:val="00EB76D3"/>
    <w:rsid w:val="00EC1206"/>
    <w:rsid w:val="00EC1848"/>
    <w:rsid w:val="00EC29ED"/>
    <w:rsid w:val="00EC3469"/>
    <w:rsid w:val="00EE2890"/>
    <w:rsid w:val="00EE2A59"/>
    <w:rsid w:val="00EE3E37"/>
    <w:rsid w:val="00EE4024"/>
    <w:rsid w:val="00EE4140"/>
    <w:rsid w:val="00EF2BA9"/>
    <w:rsid w:val="00EF3AE2"/>
    <w:rsid w:val="00EF66BE"/>
    <w:rsid w:val="00EF7180"/>
    <w:rsid w:val="00F00FBA"/>
    <w:rsid w:val="00F11C96"/>
    <w:rsid w:val="00F15C90"/>
    <w:rsid w:val="00F20FBE"/>
    <w:rsid w:val="00F21E54"/>
    <w:rsid w:val="00F3056A"/>
    <w:rsid w:val="00F306B7"/>
    <w:rsid w:val="00F32438"/>
    <w:rsid w:val="00F32873"/>
    <w:rsid w:val="00F328E8"/>
    <w:rsid w:val="00F33D9C"/>
    <w:rsid w:val="00F34BD6"/>
    <w:rsid w:val="00F35EAA"/>
    <w:rsid w:val="00F4070A"/>
    <w:rsid w:val="00F40F5D"/>
    <w:rsid w:val="00F4478C"/>
    <w:rsid w:val="00F45657"/>
    <w:rsid w:val="00F45E41"/>
    <w:rsid w:val="00F524F8"/>
    <w:rsid w:val="00F55368"/>
    <w:rsid w:val="00F61AE8"/>
    <w:rsid w:val="00F62A07"/>
    <w:rsid w:val="00F67DBB"/>
    <w:rsid w:val="00F70F50"/>
    <w:rsid w:val="00F711F5"/>
    <w:rsid w:val="00F71B59"/>
    <w:rsid w:val="00F7224E"/>
    <w:rsid w:val="00F77059"/>
    <w:rsid w:val="00F779DE"/>
    <w:rsid w:val="00F80844"/>
    <w:rsid w:val="00F8428F"/>
    <w:rsid w:val="00F84C5D"/>
    <w:rsid w:val="00F87B7A"/>
    <w:rsid w:val="00F97FB7"/>
    <w:rsid w:val="00FA08F8"/>
    <w:rsid w:val="00FA7A80"/>
    <w:rsid w:val="00FB0D73"/>
    <w:rsid w:val="00FB1041"/>
    <w:rsid w:val="00FB2350"/>
    <w:rsid w:val="00FB3C9D"/>
    <w:rsid w:val="00FC22D1"/>
    <w:rsid w:val="00FC33C8"/>
    <w:rsid w:val="00FC6C49"/>
    <w:rsid w:val="00FC7B89"/>
    <w:rsid w:val="00FD0B3D"/>
    <w:rsid w:val="00FD1E5C"/>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5313F21B-2D88-466F-B97C-4CD2DCC13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41208-82F2-4236-86B3-6AB86B36E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1045</Words>
  <Characters>5962</Characters>
  <Application>Microsoft Office Word</Application>
  <DocSecurity>0</DocSecurity>
  <Lines>49</Lines>
  <Paragraphs>13</Paragraphs>
  <ScaleCrop>false</ScaleCrop>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Bingxue Leng</cp:lastModifiedBy>
  <cp:revision>3</cp:revision>
  <dcterms:created xsi:type="dcterms:W3CDTF">2023-08-10T06:20:00Z</dcterms:created>
  <dcterms:modified xsi:type="dcterms:W3CDTF">2023-08-10T07:39:00Z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